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28F02" w14:textId="77777777" w:rsidR="0042521C" w:rsidRDefault="0042521C" w:rsidP="001146D5">
      <w:pPr>
        <w:shd w:val="clear" w:color="auto" w:fill="FFFFFF"/>
        <w:spacing w:after="0" w:line="240" w:lineRule="auto"/>
        <w:jc w:val="center"/>
        <w:textAlignment w:val="bottom"/>
        <w:rPr>
          <w:rFonts w:ascii="Arial" w:eastAsia="Times New Roman" w:hAnsi="Arial" w:cs="Arial"/>
          <w:b/>
          <w:bCs/>
          <w:color w:val="1D2228"/>
          <w:sz w:val="24"/>
          <w:szCs w:val="24"/>
          <w:lang w:eastAsia="es-AR"/>
        </w:rPr>
      </w:pPr>
    </w:p>
    <w:p w14:paraId="5DD83253" w14:textId="77777777" w:rsidR="0042521C" w:rsidRDefault="0042521C" w:rsidP="001146D5">
      <w:pPr>
        <w:shd w:val="clear" w:color="auto" w:fill="FFFFFF"/>
        <w:spacing w:after="0" w:line="240" w:lineRule="auto"/>
        <w:jc w:val="center"/>
        <w:textAlignment w:val="bottom"/>
        <w:rPr>
          <w:rFonts w:ascii="Arial" w:eastAsia="Times New Roman" w:hAnsi="Arial" w:cs="Arial"/>
          <w:b/>
          <w:bCs/>
          <w:color w:val="1D2228"/>
          <w:sz w:val="24"/>
          <w:szCs w:val="24"/>
          <w:lang w:eastAsia="es-AR"/>
        </w:rPr>
      </w:pPr>
    </w:p>
    <w:p w14:paraId="2167B2E4" w14:textId="79055D46" w:rsidR="001146D5" w:rsidRDefault="001146D5" w:rsidP="001146D5">
      <w:pPr>
        <w:shd w:val="clear" w:color="auto" w:fill="FFFFFF"/>
        <w:spacing w:after="0" w:line="240" w:lineRule="auto"/>
        <w:jc w:val="center"/>
        <w:textAlignment w:val="bottom"/>
        <w:rPr>
          <w:rFonts w:ascii="Arial" w:eastAsia="Times New Roman" w:hAnsi="Arial" w:cs="Arial"/>
          <w:b/>
          <w:bCs/>
          <w:color w:val="1D2228"/>
          <w:sz w:val="24"/>
          <w:szCs w:val="24"/>
          <w:lang w:eastAsia="es-AR"/>
        </w:rPr>
      </w:pPr>
      <w:r>
        <w:rPr>
          <w:rFonts w:ascii="Arial" w:eastAsia="Times New Roman" w:hAnsi="Arial" w:cs="Arial"/>
          <w:b/>
          <w:bCs/>
          <w:color w:val="1D2228"/>
          <w:sz w:val="24"/>
          <w:szCs w:val="24"/>
          <w:lang w:eastAsia="es-AR"/>
        </w:rPr>
        <w:t>LIMITACION AL ACCIONAR ESPECULATIVO (FONDOS BUITRES) EN LA REESTRUCTURACIÓN DE LA DEUDA SOBERANA ARGENTINA</w:t>
      </w:r>
    </w:p>
    <w:p w14:paraId="1CE82CE9" w14:textId="77777777" w:rsidR="001146D5" w:rsidRDefault="001146D5" w:rsidP="001146D5">
      <w:pPr>
        <w:shd w:val="clear" w:color="auto" w:fill="FFFFFF"/>
        <w:spacing w:after="0" w:line="240" w:lineRule="auto"/>
        <w:jc w:val="both"/>
        <w:textAlignment w:val="bottom"/>
        <w:rPr>
          <w:rFonts w:ascii="Arial" w:eastAsia="Times New Roman" w:hAnsi="Arial" w:cs="Arial"/>
          <w:b/>
          <w:bCs/>
          <w:color w:val="1D2228"/>
          <w:sz w:val="24"/>
          <w:szCs w:val="24"/>
          <w:lang w:eastAsia="es-AR"/>
        </w:rPr>
      </w:pPr>
    </w:p>
    <w:p w14:paraId="7C3961B0" w14:textId="77777777" w:rsidR="001146D5" w:rsidRDefault="001146D5" w:rsidP="001146D5">
      <w:pPr>
        <w:shd w:val="clear" w:color="auto" w:fill="FFFFFF"/>
        <w:spacing w:after="0" w:line="240" w:lineRule="auto"/>
        <w:jc w:val="both"/>
        <w:textAlignment w:val="bottom"/>
        <w:rPr>
          <w:rFonts w:ascii="Arial" w:eastAsia="Times New Roman" w:hAnsi="Arial" w:cs="Arial"/>
          <w:b/>
          <w:bCs/>
          <w:color w:val="1D2228"/>
          <w:sz w:val="24"/>
          <w:szCs w:val="24"/>
          <w:lang w:eastAsia="es-AR"/>
        </w:rPr>
      </w:pPr>
    </w:p>
    <w:p w14:paraId="45E663F6" w14:textId="66FD423B" w:rsidR="001146D5" w:rsidRDefault="001146D5" w:rsidP="001146D5">
      <w:pPr>
        <w:shd w:val="clear" w:color="auto" w:fill="FFFFFF"/>
        <w:spacing w:after="0" w:line="240" w:lineRule="auto"/>
        <w:jc w:val="both"/>
        <w:textAlignment w:val="bottom"/>
        <w:rPr>
          <w:rFonts w:ascii="Arial" w:eastAsia="Times New Roman" w:hAnsi="Arial" w:cs="Arial"/>
          <w:color w:val="1D2228"/>
          <w:sz w:val="24"/>
          <w:szCs w:val="24"/>
          <w:lang w:eastAsia="es-AR"/>
        </w:rPr>
      </w:pPr>
      <w:r w:rsidRPr="001146D5">
        <w:rPr>
          <w:rFonts w:ascii="Arial" w:eastAsia="Times New Roman" w:hAnsi="Arial" w:cs="Arial"/>
          <w:b/>
          <w:bCs/>
          <w:color w:val="1D2228"/>
          <w:sz w:val="24"/>
          <w:szCs w:val="24"/>
          <w:lang w:eastAsia="es-AR"/>
        </w:rPr>
        <w:t>Art</w:t>
      </w:r>
      <w:r>
        <w:rPr>
          <w:rFonts w:ascii="Arial" w:eastAsia="Times New Roman" w:hAnsi="Arial" w:cs="Arial"/>
          <w:b/>
          <w:bCs/>
          <w:color w:val="1D2228"/>
          <w:sz w:val="24"/>
          <w:szCs w:val="24"/>
          <w:lang w:eastAsia="es-AR"/>
        </w:rPr>
        <w:t xml:space="preserve">ículo 1°: </w:t>
      </w:r>
      <w:r w:rsidRPr="001146D5">
        <w:rPr>
          <w:rFonts w:ascii="Arial" w:eastAsia="Times New Roman" w:hAnsi="Arial" w:cs="Arial"/>
          <w:color w:val="1D2228"/>
          <w:sz w:val="24"/>
          <w:szCs w:val="24"/>
          <w:lang w:eastAsia="es-AR"/>
        </w:rPr>
        <w:t> </w:t>
      </w:r>
      <w:r>
        <w:rPr>
          <w:rFonts w:ascii="Arial" w:eastAsia="Times New Roman" w:hAnsi="Arial" w:cs="Arial"/>
          <w:color w:val="1D2228"/>
          <w:sz w:val="24"/>
          <w:szCs w:val="24"/>
          <w:lang w:eastAsia="es-AR"/>
        </w:rPr>
        <w:t>Los derechos de los acreedores privados para reclamar un</w:t>
      </w:r>
      <w:r w:rsidR="003C2434">
        <w:rPr>
          <w:rFonts w:ascii="Arial" w:eastAsia="Times New Roman" w:hAnsi="Arial" w:cs="Arial"/>
          <w:color w:val="1D2228"/>
          <w:sz w:val="24"/>
          <w:szCs w:val="24"/>
          <w:lang w:eastAsia="es-AR"/>
        </w:rPr>
        <w:t>a</w:t>
      </w:r>
      <w:r>
        <w:rPr>
          <w:rFonts w:ascii="Arial" w:eastAsia="Times New Roman" w:hAnsi="Arial" w:cs="Arial"/>
          <w:color w:val="1D2228"/>
          <w:sz w:val="24"/>
          <w:szCs w:val="24"/>
          <w:lang w:eastAsia="es-AR"/>
        </w:rPr>
        <w:t xml:space="preserve"> deuda legítima contra el Estado Nacional, Provincial o Municipal </w:t>
      </w:r>
      <w:r w:rsidR="00F75941">
        <w:rPr>
          <w:rFonts w:ascii="Arial" w:eastAsia="Times New Roman" w:hAnsi="Arial" w:cs="Arial"/>
          <w:color w:val="1D2228"/>
          <w:sz w:val="24"/>
          <w:szCs w:val="24"/>
          <w:lang w:eastAsia="es-AR"/>
        </w:rPr>
        <w:t xml:space="preserve">– en adelante el Estado- </w:t>
      </w:r>
      <w:r>
        <w:rPr>
          <w:rFonts w:ascii="Arial" w:eastAsia="Times New Roman" w:hAnsi="Arial" w:cs="Arial"/>
          <w:color w:val="1D2228"/>
          <w:sz w:val="24"/>
          <w:szCs w:val="24"/>
          <w:lang w:eastAsia="es-AR"/>
        </w:rPr>
        <w:t xml:space="preserve">sólo se considerarán vigentes y con validez financiera si la compra, adquisición o tenencia de dicha deuda en cualquiera de sus manifestaciones -bonos, títulos, </w:t>
      </w:r>
      <w:r w:rsidR="00674C44">
        <w:rPr>
          <w:rFonts w:ascii="Arial" w:eastAsia="Times New Roman" w:hAnsi="Arial" w:cs="Arial"/>
          <w:color w:val="1D2228"/>
          <w:sz w:val="24"/>
          <w:szCs w:val="24"/>
          <w:lang w:eastAsia="es-AR"/>
        </w:rPr>
        <w:t xml:space="preserve">entre otros - </w:t>
      </w:r>
      <w:r>
        <w:rPr>
          <w:rFonts w:ascii="Arial" w:eastAsia="Times New Roman" w:hAnsi="Arial" w:cs="Arial"/>
          <w:color w:val="1D2228"/>
          <w:sz w:val="24"/>
          <w:szCs w:val="24"/>
          <w:lang w:eastAsia="es-AR"/>
        </w:rPr>
        <w:t xml:space="preserve">ocurre al menos con 90 días hábiles de anticipación a la fecha en que el país ingrese en un proceso de reestructuración, refinanciación, </w:t>
      </w:r>
      <w:proofErr w:type="spellStart"/>
      <w:r>
        <w:rPr>
          <w:rFonts w:ascii="Arial" w:eastAsia="Times New Roman" w:hAnsi="Arial" w:cs="Arial"/>
          <w:color w:val="1D2228"/>
          <w:sz w:val="24"/>
          <w:szCs w:val="24"/>
          <w:lang w:eastAsia="es-AR"/>
        </w:rPr>
        <w:t>reperfilamiento</w:t>
      </w:r>
      <w:proofErr w:type="spellEnd"/>
      <w:r>
        <w:rPr>
          <w:rFonts w:ascii="Arial" w:eastAsia="Times New Roman" w:hAnsi="Arial" w:cs="Arial"/>
          <w:color w:val="1D2228"/>
          <w:sz w:val="24"/>
          <w:szCs w:val="24"/>
          <w:lang w:eastAsia="es-AR"/>
        </w:rPr>
        <w:t>, cese de pagos o cualquier otra de</w:t>
      </w:r>
      <w:r w:rsidR="00B25900">
        <w:rPr>
          <w:rFonts w:ascii="Arial" w:eastAsia="Times New Roman" w:hAnsi="Arial" w:cs="Arial"/>
          <w:color w:val="1D2228"/>
          <w:sz w:val="24"/>
          <w:szCs w:val="24"/>
          <w:lang w:eastAsia="es-AR"/>
        </w:rPr>
        <w:t>nominación</w:t>
      </w:r>
      <w:r>
        <w:rPr>
          <w:rFonts w:ascii="Arial" w:eastAsia="Times New Roman" w:hAnsi="Arial" w:cs="Arial"/>
          <w:color w:val="1D2228"/>
          <w:sz w:val="24"/>
          <w:szCs w:val="24"/>
          <w:lang w:eastAsia="es-AR"/>
        </w:rPr>
        <w:t xml:space="preserve"> que se utilice para </w:t>
      </w:r>
      <w:r w:rsidR="00674C44">
        <w:rPr>
          <w:rFonts w:ascii="Arial" w:eastAsia="Times New Roman" w:hAnsi="Arial" w:cs="Arial"/>
          <w:color w:val="1D2228"/>
          <w:sz w:val="24"/>
          <w:szCs w:val="24"/>
          <w:lang w:eastAsia="es-AR"/>
        </w:rPr>
        <w:t>expresar</w:t>
      </w:r>
      <w:r>
        <w:rPr>
          <w:rFonts w:ascii="Arial" w:eastAsia="Times New Roman" w:hAnsi="Arial" w:cs="Arial"/>
          <w:color w:val="1D2228"/>
          <w:sz w:val="24"/>
          <w:szCs w:val="24"/>
          <w:lang w:eastAsia="es-AR"/>
        </w:rPr>
        <w:t xml:space="preserve"> la imposibilidad del Estado de cumplir con sus vencimientos </w:t>
      </w:r>
      <w:r w:rsidR="00674C44">
        <w:rPr>
          <w:rFonts w:ascii="Arial" w:eastAsia="Times New Roman" w:hAnsi="Arial" w:cs="Arial"/>
          <w:color w:val="1D2228"/>
          <w:sz w:val="24"/>
          <w:szCs w:val="24"/>
          <w:lang w:eastAsia="es-AR"/>
        </w:rPr>
        <w:t xml:space="preserve">programados </w:t>
      </w:r>
      <w:r>
        <w:rPr>
          <w:rFonts w:ascii="Arial" w:eastAsia="Times New Roman" w:hAnsi="Arial" w:cs="Arial"/>
          <w:color w:val="1D2228"/>
          <w:sz w:val="24"/>
          <w:szCs w:val="24"/>
          <w:lang w:eastAsia="es-AR"/>
        </w:rPr>
        <w:t>en materia de deuda.</w:t>
      </w:r>
    </w:p>
    <w:p w14:paraId="737A2466" w14:textId="77777777" w:rsidR="001146D5" w:rsidRDefault="001146D5" w:rsidP="001146D5">
      <w:pPr>
        <w:shd w:val="clear" w:color="auto" w:fill="FFFFFF"/>
        <w:spacing w:after="0" w:line="240" w:lineRule="auto"/>
        <w:jc w:val="both"/>
        <w:textAlignment w:val="bottom"/>
        <w:rPr>
          <w:rFonts w:ascii="Arial" w:eastAsia="Times New Roman" w:hAnsi="Arial" w:cs="Arial"/>
          <w:color w:val="1D2228"/>
          <w:sz w:val="24"/>
          <w:szCs w:val="24"/>
          <w:lang w:eastAsia="es-AR"/>
        </w:rPr>
      </w:pPr>
    </w:p>
    <w:p w14:paraId="25FF0953" w14:textId="387187AB" w:rsidR="00F75941" w:rsidRPr="001900BA" w:rsidRDefault="00CB06A4" w:rsidP="00F75941">
      <w:pPr>
        <w:shd w:val="clear" w:color="auto" w:fill="FFFFFF"/>
        <w:spacing w:after="0" w:line="240" w:lineRule="auto"/>
        <w:jc w:val="both"/>
        <w:textAlignment w:val="bottom"/>
        <w:rPr>
          <w:rFonts w:ascii="Arial" w:eastAsia="Times New Roman" w:hAnsi="Arial" w:cs="Arial"/>
          <w:color w:val="FF0000"/>
          <w:sz w:val="24"/>
          <w:szCs w:val="24"/>
          <w:lang w:eastAsia="es-AR"/>
        </w:rPr>
      </w:pPr>
      <w:r w:rsidRPr="00CB06A4">
        <w:rPr>
          <w:rFonts w:ascii="Arial" w:eastAsia="Times New Roman" w:hAnsi="Arial" w:cs="Arial"/>
          <w:b/>
          <w:bCs/>
          <w:color w:val="1D2228"/>
          <w:sz w:val="24"/>
          <w:szCs w:val="24"/>
          <w:lang w:eastAsia="es-AR"/>
        </w:rPr>
        <w:t>Artículo 2°:</w:t>
      </w:r>
      <w:r>
        <w:rPr>
          <w:rFonts w:ascii="Arial" w:eastAsia="Times New Roman" w:hAnsi="Arial" w:cs="Arial"/>
          <w:color w:val="1D2228"/>
          <w:sz w:val="24"/>
          <w:szCs w:val="24"/>
          <w:lang w:eastAsia="es-AR"/>
        </w:rPr>
        <w:t xml:space="preserve"> </w:t>
      </w:r>
      <w:r w:rsidR="001146D5" w:rsidRPr="001146D5">
        <w:rPr>
          <w:rFonts w:ascii="Arial" w:eastAsia="Times New Roman" w:hAnsi="Arial" w:cs="Arial"/>
          <w:color w:val="1D2228"/>
          <w:sz w:val="24"/>
          <w:szCs w:val="24"/>
          <w:lang w:eastAsia="es-AR"/>
        </w:rPr>
        <w:t xml:space="preserve">Cuando un acreedor </w:t>
      </w:r>
      <w:r w:rsidR="00F75941">
        <w:rPr>
          <w:rFonts w:ascii="Arial" w:eastAsia="Times New Roman" w:hAnsi="Arial" w:cs="Arial"/>
          <w:color w:val="1D2228"/>
          <w:sz w:val="24"/>
          <w:szCs w:val="24"/>
          <w:lang w:eastAsia="es-AR"/>
        </w:rPr>
        <w:t xml:space="preserve">privado </w:t>
      </w:r>
      <w:r w:rsidR="001146D5" w:rsidRPr="001146D5">
        <w:rPr>
          <w:rFonts w:ascii="Arial" w:eastAsia="Times New Roman" w:hAnsi="Arial" w:cs="Arial"/>
          <w:color w:val="1D2228"/>
          <w:sz w:val="24"/>
          <w:szCs w:val="24"/>
          <w:lang w:eastAsia="es-AR"/>
        </w:rPr>
        <w:t>persig</w:t>
      </w:r>
      <w:r w:rsidR="00F67512">
        <w:rPr>
          <w:rFonts w:ascii="Arial" w:eastAsia="Times New Roman" w:hAnsi="Arial" w:cs="Arial"/>
          <w:color w:val="1D2228"/>
          <w:sz w:val="24"/>
          <w:szCs w:val="24"/>
          <w:lang w:eastAsia="es-AR"/>
        </w:rPr>
        <w:t>a</w:t>
      </w:r>
      <w:r w:rsidR="001146D5" w:rsidRPr="001146D5">
        <w:rPr>
          <w:rFonts w:ascii="Arial" w:eastAsia="Times New Roman" w:hAnsi="Arial" w:cs="Arial"/>
          <w:color w:val="1D2228"/>
          <w:sz w:val="24"/>
          <w:szCs w:val="24"/>
          <w:lang w:eastAsia="es-AR"/>
        </w:rPr>
        <w:t xml:space="preserve"> una ventaja ilegítima </w:t>
      </w:r>
      <w:r w:rsidR="00D41C2A">
        <w:rPr>
          <w:rFonts w:ascii="Arial" w:eastAsia="Times New Roman" w:hAnsi="Arial" w:cs="Arial"/>
          <w:color w:val="1D2228"/>
          <w:sz w:val="24"/>
          <w:szCs w:val="24"/>
          <w:lang w:eastAsia="es-AR"/>
        </w:rPr>
        <w:t>especulativa</w:t>
      </w:r>
      <w:r w:rsidR="00D21DB8">
        <w:rPr>
          <w:rFonts w:ascii="Arial" w:eastAsia="Times New Roman" w:hAnsi="Arial" w:cs="Arial"/>
          <w:color w:val="1D2228"/>
          <w:sz w:val="24"/>
          <w:szCs w:val="24"/>
          <w:lang w:eastAsia="es-AR"/>
        </w:rPr>
        <w:t xml:space="preserve"> </w:t>
      </w:r>
      <w:r w:rsidR="001146D5" w:rsidRPr="001146D5">
        <w:rPr>
          <w:rFonts w:ascii="Arial" w:eastAsia="Times New Roman" w:hAnsi="Arial" w:cs="Arial"/>
          <w:color w:val="1D2228"/>
          <w:sz w:val="24"/>
          <w:szCs w:val="24"/>
          <w:lang w:eastAsia="es-AR"/>
        </w:rPr>
        <w:t>mediante la adquisición de</w:t>
      </w:r>
      <w:r w:rsidR="00F75941">
        <w:rPr>
          <w:rFonts w:ascii="Arial" w:eastAsia="Times New Roman" w:hAnsi="Arial" w:cs="Arial"/>
          <w:color w:val="1D2228"/>
          <w:sz w:val="24"/>
          <w:szCs w:val="24"/>
          <w:lang w:eastAsia="es-AR"/>
        </w:rPr>
        <w:t xml:space="preserve"> deuda</w:t>
      </w:r>
      <w:bookmarkStart w:id="0" w:name="mot1048_1"/>
      <w:r w:rsidR="00F75941">
        <w:rPr>
          <w:rFonts w:ascii="Arial" w:eastAsia="Times New Roman" w:hAnsi="Arial" w:cs="Arial"/>
          <w:color w:val="1D2228"/>
          <w:sz w:val="24"/>
          <w:szCs w:val="24"/>
          <w:lang w:eastAsia="es-AR"/>
        </w:rPr>
        <w:t xml:space="preserve"> </w:t>
      </w:r>
      <w:r w:rsidR="006E796A">
        <w:rPr>
          <w:rFonts w:ascii="Arial" w:eastAsia="Times New Roman" w:hAnsi="Arial" w:cs="Arial"/>
          <w:color w:val="1D2228"/>
          <w:sz w:val="24"/>
          <w:szCs w:val="24"/>
          <w:lang w:eastAsia="es-AR"/>
        </w:rPr>
        <w:t>del Estado, s</w:t>
      </w:r>
      <w:r w:rsidR="006E796A" w:rsidRPr="006E796A">
        <w:rPr>
          <w:rFonts w:ascii="Arial" w:eastAsia="Times New Roman" w:hAnsi="Arial" w:cs="Arial"/>
          <w:color w:val="1D2228"/>
          <w:sz w:val="24"/>
          <w:szCs w:val="24"/>
          <w:lang w:eastAsia="es-AR"/>
        </w:rPr>
        <w:t xml:space="preserve">us derechos respecto </w:t>
      </w:r>
      <w:r w:rsidR="006E796A">
        <w:rPr>
          <w:rFonts w:ascii="Arial" w:eastAsia="Times New Roman" w:hAnsi="Arial" w:cs="Arial"/>
          <w:color w:val="1D2228"/>
          <w:sz w:val="24"/>
          <w:szCs w:val="24"/>
          <w:lang w:eastAsia="es-AR"/>
        </w:rPr>
        <w:t xml:space="preserve">a la misma </w:t>
      </w:r>
      <w:r w:rsidR="006E796A" w:rsidRPr="006E796A">
        <w:rPr>
          <w:rFonts w:ascii="Arial" w:eastAsia="Times New Roman" w:hAnsi="Arial" w:cs="Arial"/>
          <w:color w:val="1D2228"/>
          <w:sz w:val="24"/>
          <w:szCs w:val="24"/>
          <w:lang w:eastAsia="es-AR"/>
        </w:rPr>
        <w:t xml:space="preserve">se limitarán al precio pagado para </w:t>
      </w:r>
      <w:r w:rsidR="00B25900">
        <w:rPr>
          <w:rFonts w:ascii="Arial" w:eastAsia="Times New Roman" w:hAnsi="Arial" w:cs="Arial"/>
          <w:color w:val="1D2228"/>
          <w:sz w:val="24"/>
          <w:szCs w:val="24"/>
          <w:lang w:eastAsia="es-AR"/>
        </w:rPr>
        <w:t>adquirir</w:t>
      </w:r>
      <w:r w:rsidR="006E796A" w:rsidRPr="006E796A">
        <w:rPr>
          <w:rFonts w:ascii="Arial" w:eastAsia="Times New Roman" w:hAnsi="Arial" w:cs="Arial"/>
          <w:color w:val="1D2228"/>
          <w:sz w:val="24"/>
          <w:szCs w:val="24"/>
          <w:lang w:eastAsia="es-AR"/>
        </w:rPr>
        <w:t xml:space="preserve"> dicha deuda</w:t>
      </w:r>
      <w:r w:rsidR="001900BA">
        <w:rPr>
          <w:rFonts w:ascii="Arial" w:eastAsia="Times New Roman" w:hAnsi="Arial" w:cs="Arial"/>
          <w:color w:val="1D2228"/>
          <w:sz w:val="24"/>
          <w:szCs w:val="24"/>
          <w:lang w:eastAsia="es-AR"/>
        </w:rPr>
        <w:t xml:space="preserve">, </w:t>
      </w:r>
      <w:r w:rsidR="00B25900">
        <w:rPr>
          <w:rFonts w:ascii="Arial" w:eastAsia="Times New Roman" w:hAnsi="Arial" w:cs="Arial"/>
          <w:color w:val="1D2228"/>
          <w:sz w:val="24"/>
          <w:szCs w:val="24"/>
          <w:lang w:eastAsia="es-AR"/>
        </w:rPr>
        <w:t>más los intereses correspondientes.</w:t>
      </w:r>
    </w:p>
    <w:p w14:paraId="4DA41CA7" w14:textId="2BEC1FD7" w:rsidR="006E796A" w:rsidRDefault="006E796A" w:rsidP="00F75941">
      <w:pPr>
        <w:shd w:val="clear" w:color="auto" w:fill="FFFFFF"/>
        <w:spacing w:after="0" w:line="240" w:lineRule="auto"/>
        <w:jc w:val="both"/>
        <w:textAlignment w:val="bottom"/>
        <w:rPr>
          <w:rFonts w:ascii="Arial" w:eastAsia="Times New Roman" w:hAnsi="Arial" w:cs="Arial"/>
          <w:color w:val="1D2228"/>
          <w:sz w:val="24"/>
          <w:szCs w:val="24"/>
          <w:lang w:eastAsia="es-AR"/>
        </w:rPr>
      </w:pPr>
    </w:p>
    <w:p w14:paraId="1C8E4789" w14:textId="0AC6A477" w:rsidR="006E796A" w:rsidRPr="00D21DB8" w:rsidRDefault="006E796A" w:rsidP="00F75941">
      <w:pPr>
        <w:shd w:val="clear" w:color="auto" w:fill="FFFFFF"/>
        <w:spacing w:after="0" w:line="240" w:lineRule="auto"/>
        <w:jc w:val="both"/>
        <w:textAlignment w:val="bottom"/>
        <w:rPr>
          <w:rFonts w:ascii="Arial" w:eastAsia="Times New Roman" w:hAnsi="Arial" w:cs="Arial"/>
          <w:color w:val="1D2228"/>
          <w:sz w:val="24"/>
          <w:szCs w:val="24"/>
          <w:lang w:eastAsia="es-AR"/>
        </w:rPr>
      </w:pPr>
      <w:r w:rsidRPr="006E796A">
        <w:rPr>
          <w:rFonts w:ascii="Arial" w:eastAsia="Times New Roman" w:hAnsi="Arial" w:cs="Arial"/>
          <w:b/>
          <w:bCs/>
          <w:color w:val="1D2228"/>
          <w:sz w:val="24"/>
          <w:szCs w:val="24"/>
          <w:lang w:eastAsia="es-AR"/>
        </w:rPr>
        <w:t>Artículo 3°:</w:t>
      </w:r>
      <w:r w:rsidR="00D21DB8">
        <w:rPr>
          <w:rFonts w:ascii="Arial" w:eastAsia="Times New Roman" w:hAnsi="Arial" w:cs="Arial"/>
          <w:b/>
          <w:bCs/>
          <w:color w:val="1D2228"/>
          <w:sz w:val="24"/>
          <w:szCs w:val="24"/>
          <w:lang w:eastAsia="es-AR"/>
        </w:rPr>
        <w:t xml:space="preserve"> </w:t>
      </w:r>
      <w:r w:rsidR="00D21DB8" w:rsidRPr="00D21DB8">
        <w:rPr>
          <w:rFonts w:ascii="Arial" w:eastAsia="Times New Roman" w:hAnsi="Arial" w:cs="Arial"/>
          <w:color w:val="1D2228"/>
          <w:sz w:val="24"/>
          <w:szCs w:val="24"/>
          <w:lang w:eastAsia="es-AR"/>
        </w:rPr>
        <w:t xml:space="preserve">La ventaja ilegítima </w:t>
      </w:r>
      <w:r w:rsidR="00D41C2A">
        <w:rPr>
          <w:rFonts w:ascii="Arial" w:eastAsia="Times New Roman" w:hAnsi="Arial" w:cs="Arial"/>
          <w:color w:val="1D2228"/>
          <w:sz w:val="24"/>
          <w:szCs w:val="24"/>
          <w:lang w:eastAsia="es-AR"/>
        </w:rPr>
        <w:t xml:space="preserve">especulativa </w:t>
      </w:r>
      <w:r w:rsidR="00D21DB8" w:rsidRPr="00D21DB8">
        <w:rPr>
          <w:rFonts w:ascii="Arial" w:eastAsia="Times New Roman" w:hAnsi="Arial" w:cs="Arial"/>
          <w:color w:val="1D2228"/>
          <w:sz w:val="24"/>
          <w:szCs w:val="24"/>
          <w:lang w:eastAsia="es-AR"/>
        </w:rPr>
        <w:t>se define como la existencia de una desproporción manifiesta y evidente entre</w:t>
      </w:r>
      <w:r w:rsidR="00D41C2A">
        <w:rPr>
          <w:rFonts w:ascii="Arial" w:eastAsia="Times New Roman" w:hAnsi="Arial" w:cs="Arial"/>
          <w:color w:val="1D2228"/>
          <w:sz w:val="24"/>
          <w:szCs w:val="24"/>
          <w:lang w:eastAsia="es-AR"/>
        </w:rPr>
        <w:t xml:space="preserve"> la suma total efectivamente abonada por el acreedor para adquirir la deuda y el reclamo que éste realiza frente al Estado.</w:t>
      </w:r>
    </w:p>
    <w:p w14:paraId="2EBD8A1B" w14:textId="173B7EBD" w:rsidR="00D21DB8" w:rsidRDefault="00D21DB8" w:rsidP="00040164">
      <w:pPr>
        <w:shd w:val="clear" w:color="auto" w:fill="FFFFFF"/>
        <w:spacing w:after="0" w:line="240" w:lineRule="auto"/>
        <w:jc w:val="both"/>
        <w:textAlignment w:val="bottom"/>
        <w:rPr>
          <w:rFonts w:ascii="Arial" w:eastAsia="Times New Roman" w:hAnsi="Arial" w:cs="Arial"/>
          <w:color w:val="1D2228"/>
          <w:sz w:val="24"/>
          <w:szCs w:val="24"/>
          <w:lang w:eastAsia="es-AR"/>
        </w:rPr>
      </w:pPr>
    </w:p>
    <w:p w14:paraId="6079CDA2" w14:textId="106AC275" w:rsidR="00040164" w:rsidRPr="00040164" w:rsidRDefault="00040164" w:rsidP="00040164">
      <w:pPr>
        <w:shd w:val="clear" w:color="auto" w:fill="FFFFFF"/>
        <w:spacing w:after="0" w:line="240" w:lineRule="auto"/>
        <w:jc w:val="both"/>
        <w:textAlignment w:val="bottom"/>
        <w:rPr>
          <w:rFonts w:ascii="Arial" w:eastAsia="Times New Roman" w:hAnsi="Arial" w:cs="Arial"/>
          <w:color w:val="1D2228"/>
          <w:sz w:val="24"/>
          <w:szCs w:val="24"/>
          <w:lang w:eastAsia="es-AR"/>
        </w:rPr>
      </w:pPr>
      <w:r w:rsidRPr="00040164">
        <w:rPr>
          <w:rFonts w:ascii="Arial" w:eastAsia="Times New Roman" w:hAnsi="Arial" w:cs="Arial"/>
          <w:b/>
          <w:bCs/>
          <w:color w:val="1D2228"/>
          <w:sz w:val="24"/>
          <w:szCs w:val="24"/>
          <w:lang w:eastAsia="es-AR"/>
        </w:rPr>
        <w:t>Artículo 4°:</w:t>
      </w:r>
      <w:r>
        <w:rPr>
          <w:rFonts w:ascii="Arial" w:eastAsia="Times New Roman" w:hAnsi="Arial" w:cs="Arial"/>
          <w:b/>
          <w:bCs/>
          <w:color w:val="1D2228"/>
          <w:sz w:val="24"/>
          <w:szCs w:val="24"/>
          <w:lang w:eastAsia="es-AR"/>
        </w:rPr>
        <w:t xml:space="preserve"> </w:t>
      </w:r>
      <w:r w:rsidRPr="00040164">
        <w:rPr>
          <w:rFonts w:ascii="Arial" w:eastAsia="Times New Roman" w:hAnsi="Arial" w:cs="Arial"/>
          <w:color w:val="1D2228"/>
          <w:sz w:val="24"/>
          <w:szCs w:val="24"/>
          <w:lang w:eastAsia="es-AR"/>
        </w:rPr>
        <w:t>Para constituir una ventaja ilegítima</w:t>
      </w:r>
      <w:r w:rsidR="00860BE8">
        <w:rPr>
          <w:rFonts w:ascii="Arial" w:eastAsia="Times New Roman" w:hAnsi="Arial" w:cs="Arial"/>
          <w:color w:val="1D2228"/>
          <w:sz w:val="24"/>
          <w:szCs w:val="24"/>
          <w:lang w:eastAsia="es-AR"/>
        </w:rPr>
        <w:t xml:space="preserve"> especulativa</w:t>
      </w:r>
      <w:r w:rsidRPr="00040164">
        <w:rPr>
          <w:rFonts w:ascii="Arial" w:eastAsia="Times New Roman" w:hAnsi="Arial" w:cs="Arial"/>
          <w:color w:val="1D2228"/>
          <w:sz w:val="24"/>
          <w:szCs w:val="24"/>
          <w:lang w:eastAsia="es-AR"/>
        </w:rPr>
        <w:t xml:space="preserve">, la </w:t>
      </w:r>
      <w:r w:rsidR="00860BE8">
        <w:rPr>
          <w:rFonts w:ascii="Arial" w:eastAsia="Times New Roman" w:hAnsi="Arial" w:cs="Arial"/>
          <w:color w:val="1D2228"/>
          <w:sz w:val="24"/>
          <w:szCs w:val="24"/>
          <w:lang w:eastAsia="es-AR"/>
        </w:rPr>
        <w:t xml:space="preserve">manifiesta y </w:t>
      </w:r>
      <w:r w:rsidRPr="00040164">
        <w:rPr>
          <w:rFonts w:ascii="Arial" w:eastAsia="Times New Roman" w:hAnsi="Arial" w:cs="Arial"/>
          <w:color w:val="1D2228"/>
          <w:sz w:val="24"/>
          <w:szCs w:val="24"/>
          <w:lang w:eastAsia="es-AR"/>
        </w:rPr>
        <w:t xml:space="preserve">evidente desproporción referida en el </w:t>
      </w:r>
      <w:r w:rsidR="00860BE8">
        <w:rPr>
          <w:rFonts w:ascii="Arial" w:eastAsia="Times New Roman" w:hAnsi="Arial" w:cs="Arial"/>
          <w:color w:val="1D2228"/>
          <w:sz w:val="24"/>
          <w:szCs w:val="24"/>
          <w:lang w:eastAsia="es-AR"/>
        </w:rPr>
        <w:t xml:space="preserve">Artículo 3°, </w:t>
      </w:r>
      <w:r w:rsidRPr="00040164">
        <w:rPr>
          <w:rFonts w:ascii="Arial" w:eastAsia="Times New Roman" w:hAnsi="Arial" w:cs="Arial"/>
          <w:color w:val="1D2228"/>
          <w:sz w:val="24"/>
          <w:szCs w:val="24"/>
          <w:lang w:eastAsia="es-AR"/>
        </w:rPr>
        <w:t>debe completarse con al menos uno de los siguientes criterios:</w:t>
      </w:r>
    </w:p>
    <w:p w14:paraId="4E382AE4" w14:textId="77777777" w:rsidR="00D21DB8" w:rsidRPr="00860BE8" w:rsidRDefault="00D21DB8" w:rsidP="00860BE8">
      <w:pPr>
        <w:shd w:val="clear" w:color="auto" w:fill="FFFFFF"/>
        <w:spacing w:after="0" w:line="240" w:lineRule="auto"/>
        <w:jc w:val="both"/>
        <w:textAlignment w:val="bottom"/>
        <w:rPr>
          <w:rFonts w:ascii="Arial" w:eastAsia="Times New Roman" w:hAnsi="Arial" w:cs="Arial"/>
          <w:color w:val="1D2228"/>
          <w:sz w:val="24"/>
          <w:szCs w:val="24"/>
          <w:lang w:eastAsia="es-AR"/>
        </w:rPr>
      </w:pPr>
    </w:p>
    <w:p w14:paraId="44158241" w14:textId="4CF8439C" w:rsidR="00F75941" w:rsidRPr="0042521C" w:rsidRDefault="00F34D5F" w:rsidP="00600610">
      <w:pPr>
        <w:pStyle w:val="Prrafodelista"/>
        <w:numPr>
          <w:ilvl w:val="0"/>
          <w:numId w:val="2"/>
        </w:numPr>
        <w:shd w:val="clear" w:color="auto" w:fill="FFFFFF"/>
        <w:spacing w:after="0" w:line="240" w:lineRule="auto"/>
        <w:jc w:val="both"/>
        <w:textAlignment w:val="bottom"/>
        <w:rPr>
          <w:rFonts w:ascii="Arial" w:eastAsia="Times New Roman" w:hAnsi="Arial" w:cs="Arial"/>
          <w:color w:val="1D2228"/>
          <w:sz w:val="24"/>
          <w:szCs w:val="24"/>
          <w:lang w:eastAsia="es-AR"/>
        </w:rPr>
      </w:pPr>
      <w:hyperlink r:id="rId9" w:tgtFrame="_blank" w:history="1">
        <w:r w:rsidR="00563551">
          <w:rPr>
            <w:rFonts w:ascii="Arial" w:eastAsia="Times New Roman" w:hAnsi="Arial" w:cs="Arial"/>
            <w:color w:val="000000"/>
            <w:sz w:val="24"/>
            <w:szCs w:val="24"/>
            <w:lang w:eastAsia="es-AR"/>
          </w:rPr>
          <w:t>Que el</w:t>
        </w:r>
        <w:r w:rsidR="00F75941" w:rsidRPr="00600610">
          <w:rPr>
            <w:rFonts w:ascii="Arial" w:eastAsia="Times New Roman" w:hAnsi="Arial" w:cs="Arial"/>
            <w:color w:val="000000"/>
            <w:sz w:val="24"/>
            <w:szCs w:val="24"/>
            <w:lang w:eastAsia="es-AR"/>
          </w:rPr>
          <w:t xml:space="preserve"> Estado se encontra</w:t>
        </w:r>
        <w:r w:rsidR="00B25900">
          <w:rPr>
            <w:rFonts w:ascii="Arial" w:eastAsia="Times New Roman" w:hAnsi="Arial" w:cs="Arial"/>
            <w:color w:val="000000"/>
            <w:sz w:val="24"/>
            <w:szCs w:val="24"/>
            <w:lang w:eastAsia="es-AR"/>
          </w:rPr>
          <w:t>r</w:t>
        </w:r>
        <w:r w:rsidR="00F75941" w:rsidRPr="00600610">
          <w:rPr>
            <w:rFonts w:ascii="Arial" w:eastAsia="Times New Roman" w:hAnsi="Arial" w:cs="Arial"/>
            <w:color w:val="000000"/>
            <w:sz w:val="24"/>
            <w:szCs w:val="24"/>
            <w:lang w:eastAsia="es-AR"/>
          </w:rPr>
          <w:t>a en un estado de insolvencia o de suspensión de pagos comprobada o inminente</w:t>
        </w:r>
        <w:r w:rsidR="00600610" w:rsidRPr="00600610">
          <w:rPr>
            <w:rFonts w:ascii="Arial" w:eastAsia="Times New Roman" w:hAnsi="Arial" w:cs="Arial"/>
            <w:color w:val="000000"/>
            <w:sz w:val="24"/>
            <w:szCs w:val="24"/>
            <w:lang w:eastAsia="es-AR"/>
          </w:rPr>
          <w:t xml:space="preserve">, </w:t>
        </w:r>
        <w:r w:rsidR="00B25900">
          <w:rPr>
            <w:rFonts w:ascii="Arial" w:eastAsia="Times New Roman" w:hAnsi="Arial" w:cs="Arial"/>
            <w:color w:val="000000"/>
            <w:sz w:val="24"/>
            <w:szCs w:val="24"/>
            <w:lang w:eastAsia="es-AR"/>
          </w:rPr>
          <w:t xml:space="preserve">al </w:t>
        </w:r>
        <w:r w:rsidR="00F75941" w:rsidRPr="00600610">
          <w:rPr>
            <w:rFonts w:ascii="Arial" w:eastAsia="Times New Roman" w:hAnsi="Arial" w:cs="Arial"/>
            <w:color w:val="000000"/>
            <w:sz w:val="24"/>
            <w:szCs w:val="24"/>
            <w:lang w:eastAsia="es-AR"/>
          </w:rPr>
          <w:t>momento de la recompra de</w:t>
        </w:r>
        <w:r w:rsidR="00860BE8" w:rsidRPr="00600610">
          <w:rPr>
            <w:rFonts w:ascii="Arial" w:eastAsia="Times New Roman" w:hAnsi="Arial" w:cs="Arial"/>
            <w:color w:val="000000"/>
            <w:sz w:val="24"/>
            <w:szCs w:val="24"/>
            <w:lang w:eastAsia="es-AR"/>
          </w:rPr>
          <w:t xml:space="preserve"> la deuda</w:t>
        </w:r>
        <w:r w:rsidR="00F75941" w:rsidRPr="00600610">
          <w:rPr>
            <w:rFonts w:ascii="Arial" w:eastAsia="Times New Roman" w:hAnsi="Arial" w:cs="Arial"/>
            <w:color w:val="000000"/>
            <w:sz w:val="24"/>
            <w:szCs w:val="24"/>
            <w:lang w:eastAsia="es-AR"/>
          </w:rPr>
          <w:t>;</w:t>
        </w:r>
      </w:hyperlink>
    </w:p>
    <w:p w14:paraId="74400767" w14:textId="77777777" w:rsidR="0042521C" w:rsidRPr="00860BE8" w:rsidRDefault="0042521C" w:rsidP="00860BE8">
      <w:pPr>
        <w:shd w:val="clear" w:color="auto" w:fill="FFFFFF"/>
        <w:spacing w:after="0" w:line="240" w:lineRule="auto"/>
        <w:jc w:val="both"/>
        <w:textAlignment w:val="bottom"/>
        <w:rPr>
          <w:rFonts w:ascii="Arial" w:eastAsia="Times New Roman" w:hAnsi="Arial" w:cs="Arial"/>
          <w:color w:val="1D2228"/>
          <w:sz w:val="24"/>
          <w:szCs w:val="24"/>
          <w:lang w:eastAsia="es-AR"/>
        </w:rPr>
      </w:pPr>
    </w:p>
    <w:p w14:paraId="0832CDEF" w14:textId="4CD4A351" w:rsidR="00F75941" w:rsidRPr="00600610" w:rsidRDefault="00F34D5F" w:rsidP="00600610">
      <w:pPr>
        <w:pStyle w:val="Prrafodelista"/>
        <w:numPr>
          <w:ilvl w:val="0"/>
          <w:numId w:val="2"/>
        </w:numPr>
        <w:shd w:val="clear" w:color="auto" w:fill="FFFFFF"/>
        <w:spacing w:after="0" w:line="240" w:lineRule="auto"/>
        <w:jc w:val="both"/>
        <w:textAlignment w:val="bottom"/>
        <w:rPr>
          <w:rFonts w:ascii="Arial" w:eastAsia="Times New Roman" w:hAnsi="Arial" w:cs="Arial"/>
          <w:color w:val="1D2228"/>
          <w:sz w:val="24"/>
          <w:szCs w:val="24"/>
          <w:lang w:eastAsia="es-AR"/>
        </w:rPr>
      </w:pPr>
      <w:hyperlink r:id="rId10" w:tgtFrame="_blank" w:history="1">
        <w:r w:rsidR="00563551">
          <w:rPr>
            <w:rFonts w:ascii="Arial" w:eastAsia="Times New Roman" w:hAnsi="Arial" w:cs="Arial"/>
            <w:color w:val="000000"/>
            <w:sz w:val="24"/>
            <w:szCs w:val="24"/>
            <w:lang w:eastAsia="es-AR"/>
          </w:rPr>
          <w:t>Que e</w:t>
        </w:r>
        <w:r w:rsidR="00F75941" w:rsidRPr="00600610">
          <w:rPr>
            <w:rFonts w:ascii="Arial" w:eastAsia="Times New Roman" w:hAnsi="Arial" w:cs="Arial"/>
            <w:color w:val="000000"/>
            <w:sz w:val="24"/>
            <w:szCs w:val="24"/>
            <w:lang w:eastAsia="es-AR"/>
          </w:rPr>
          <w:t>l acreedor tiene su sede en un Estado o territorio:</w:t>
        </w:r>
      </w:hyperlink>
    </w:p>
    <w:p w14:paraId="2E442D54" w14:textId="77777777" w:rsidR="00860BE8" w:rsidRPr="00860BE8" w:rsidRDefault="00860BE8" w:rsidP="00860BE8">
      <w:pPr>
        <w:shd w:val="clear" w:color="auto" w:fill="FFFFFF"/>
        <w:spacing w:after="0" w:line="240" w:lineRule="auto"/>
        <w:jc w:val="both"/>
        <w:textAlignment w:val="bottom"/>
        <w:rPr>
          <w:rFonts w:ascii="Arial" w:eastAsia="Times New Roman" w:hAnsi="Arial" w:cs="Arial"/>
          <w:color w:val="1D2228"/>
          <w:sz w:val="24"/>
          <w:szCs w:val="24"/>
          <w:lang w:eastAsia="es-AR"/>
        </w:rPr>
      </w:pPr>
    </w:p>
    <w:p w14:paraId="201306E5" w14:textId="7791A91F" w:rsidR="00F75941" w:rsidRPr="00600610" w:rsidRDefault="00F34D5F" w:rsidP="00600610">
      <w:pPr>
        <w:pStyle w:val="Prrafodelista"/>
        <w:numPr>
          <w:ilvl w:val="0"/>
          <w:numId w:val="3"/>
        </w:numPr>
        <w:shd w:val="clear" w:color="auto" w:fill="FFFFFF"/>
        <w:spacing w:after="0" w:line="240" w:lineRule="auto"/>
        <w:jc w:val="both"/>
        <w:textAlignment w:val="bottom"/>
        <w:rPr>
          <w:rFonts w:ascii="Arial" w:eastAsia="Times New Roman" w:hAnsi="Arial" w:cs="Arial"/>
          <w:color w:val="1D2228"/>
          <w:sz w:val="24"/>
          <w:szCs w:val="24"/>
          <w:lang w:eastAsia="es-AR"/>
        </w:rPr>
      </w:pPr>
      <w:hyperlink r:id="rId11" w:tgtFrame="_blank" w:history="1">
        <w:r w:rsidR="00F75941" w:rsidRPr="00600610">
          <w:rPr>
            <w:rFonts w:ascii="Arial" w:eastAsia="Times New Roman" w:hAnsi="Arial" w:cs="Arial"/>
            <w:color w:val="000000"/>
            <w:sz w:val="24"/>
            <w:szCs w:val="24"/>
            <w:lang w:eastAsia="es-AR"/>
          </w:rPr>
          <w:t>que está en la lista de Estados o jurisdicciones no cooper</w:t>
        </w:r>
        <w:r w:rsidR="00B25900">
          <w:rPr>
            <w:rFonts w:ascii="Arial" w:eastAsia="Times New Roman" w:hAnsi="Arial" w:cs="Arial"/>
            <w:color w:val="000000"/>
            <w:sz w:val="24"/>
            <w:szCs w:val="24"/>
            <w:lang w:eastAsia="es-AR"/>
          </w:rPr>
          <w:t>antes</w:t>
        </w:r>
        <w:r w:rsidR="00F75941" w:rsidRPr="00600610">
          <w:rPr>
            <w:rFonts w:ascii="Arial" w:eastAsia="Times New Roman" w:hAnsi="Arial" w:cs="Arial"/>
            <w:color w:val="000000"/>
            <w:sz w:val="24"/>
            <w:szCs w:val="24"/>
            <w:lang w:eastAsia="es-AR"/>
          </w:rPr>
          <w:t xml:space="preserve"> establecida por el Grupo de </w:t>
        </w:r>
      </w:hyperlink>
      <w:bookmarkStart w:id="1" w:name="mot882_2"/>
      <w:bookmarkEnd w:id="0"/>
      <w:r w:rsidR="00F75941" w:rsidRPr="00600610">
        <w:rPr>
          <w:rFonts w:ascii="Arial" w:eastAsia="Times New Roman" w:hAnsi="Arial" w:cs="Arial"/>
          <w:color w:val="1D2228"/>
          <w:sz w:val="24"/>
          <w:szCs w:val="24"/>
          <w:lang w:eastAsia="es-AR"/>
        </w:rPr>
        <w:fldChar w:fldCharType="begin"/>
      </w:r>
      <w:r w:rsidR="00F75941" w:rsidRPr="00600610">
        <w:rPr>
          <w:rFonts w:ascii="Arial" w:eastAsia="Times New Roman" w:hAnsi="Arial" w:cs="Arial"/>
          <w:color w:val="1D2228"/>
          <w:sz w:val="24"/>
          <w:szCs w:val="24"/>
          <w:lang w:eastAsia="es-AR"/>
        </w:rPr>
        <w:instrText xml:space="preserve"> HYPERLINK "http://www.cadtm.org/Accion" \t "_blank" </w:instrText>
      </w:r>
      <w:r w:rsidR="00F75941" w:rsidRPr="00600610">
        <w:rPr>
          <w:rFonts w:ascii="Arial" w:eastAsia="Times New Roman" w:hAnsi="Arial" w:cs="Arial"/>
          <w:color w:val="1D2228"/>
          <w:sz w:val="24"/>
          <w:szCs w:val="24"/>
          <w:lang w:eastAsia="es-AR"/>
        </w:rPr>
        <w:fldChar w:fldCharType="separate"/>
      </w:r>
      <w:r w:rsidR="00F75941" w:rsidRPr="00600610">
        <w:rPr>
          <w:rFonts w:ascii="Arial" w:eastAsia="Times New Roman" w:hAnsi="Arial" w:cs="Arial"/>
          <w:i/>
          <w:iCs/>
          <w:color w:val="000000"/>
          <w:sz w:val="24"/>
          <w:szCs w:val="24"/>
          <w:lang w:eastAsia="es-AR"/>
        </w:rPr>
        <w:t>Acción</w:t>
      </w:r>
      <w:r w:rsidR="00F75941" w:rsidRPr="00600610">
        <w:rPr>
          <w:rFonts w:ascii="Arial" w:eastAsia="Times New Roman" w:hAnsi="Arial" w:cs="Arial"/>
          <w:color w:val="000000"/>
          <w:sz w:val="24"/>
          <w:szCs w:val="24"/>
          <w:lang w:eastAsia="es-AR"/>
        </w:rPr>
        <w:t> Financiera (GAFI), o</w:t>
      </w:r>
      <w:r w:rsidR="00F75941" w:rsidRPr="00600610">
        <w:rPr>
          <w:rFonts w:ascii="Arial" w:eastAsia="Times New Roman" w:hAnsi="Arial" w:cs="Arial"/>
          <w:color w:val="1D2228"/>
          <w:sz w:val="24"/>
          <w:szCs w:val="24"/>
          <w:lang w:eastAsia="es-AR"/>
        </w:rPr>
        <w:fldChar w:fldCharType="end"/>
      </w:r>
    </w:p>
    <w:p w14:paraId="10B21BCF" w14:textId="77777777" w:rsidR="00600610" w:rsidRPr="00600610" w:rsidRDefault="00600610" w:rsidP="00600610">
      <w:pPr>
        <w:pStyle w:val="Prrafodelista"/>
        <w:shd w:val="clear" w:color="auto" w:fill="FFFFFF"/>
        <w:spacing w:after="0" w:line="240" w:lineRule="auto"/>
        <w:jc w:val="both"/>
        <w:textAlignment w:val="bottom"/>
        <w:rPr>
          <w:rFonts w:ascii="Arial" w:eastAsia="Times New Roman" w:hAnsi="Arial" w:cs="Arial"/>
          <w:color w:val="1D2228"/>
          <w:sz w:val="24"/>
          <w:szCs w:val="24"/>
          <w:lang w:eastAsia="es-AR"/>
        </w:rPr>
      </w:pPr>
    </w:p>
    <w:p w14:paraId="14FC3418" w14:textId="436B504A" w:rsidR="00F75941" w:rsidRPr="00563551" w:rsidRDefault="00600610" w:rsidP="00563551">
      <w:pPr>
        <w:pStyle w:val="Prrafodelista"/>
        <w:numPr>
          <w:ilvl w:val="0"/>
          <w:numId w:val="11"/>
        </w:numPr>
        <w:shd w:val="clear" w:color="auto" w:fill="FFFFFF"/>
        <w:spacing w:after="0" w:line="240" w:lineRule="auto"/>
        <w:jc w:val="both"/>
        <w:textAlignment w:val="bottom"/>
        <w:rPr>
          <w:rFonts w:ascii="Arial" w:eastAsia="Times New Roman" w:hAnsi="Arial" w:cs="Arial"/>
          <w:color w:val="FF0000"/>
          <w:sz w:val="24"/>
          <w:szCs w:val="24"/>
          <w:lang w:eastAsia="es-AR"/>
        </w:rPr>
      </w:pPr>
      <w:r w:rsidRPr="00563551">
        <w:rPr>
          <w:rFonts w:ascii="Arial" w:hAnsi="Arial" w:cs="Arial"/>
          <w:sz w:val="24"/>
          <w:szCs w:val="24"/>
        </w:rPr>
        <w:t>que se encuentra en la lista de Estados o jurisdicciones no coopera</w:t>
      </w:r>
      <w:r w:rsidR="00B25900" w:rsidRPr="00563551">
        <w:rPr>
          <w:rFonts w:ascii="Arial" w:hAnsi="Arial" w:cs="Arial"/>
          <w:sz w:val="24"/>
          <w:szCs w:val="24"/>
        </w:rPr>
        <w:t xml:space="preserve">ntes </w:t>
      </w:r>
      <w:r w:rsidRPr="00563551">
        <w:rPr>
          <w:rFonts w:ascii="Arial" w:hAnsi="Arial" w:cs="Arial"/>
          <w:sz w:val="24"/>
          <w:szCs w:val="24"/>
        </w:rPr>
        <w:t xml:space="preserve">  </w:t>
      </w:r>
      <w:r w:rsidR="00B25900" w:rsidRPr="00563551">
        <w:rPr>
          <w:rFonts w:ascii="Arial" w:hAnsi="Arial" w:cs="Arial"/>
          <w:sz w:val="24"/>
          <w:szCs w:val="24"/>
        </w:rPr>
        <w:t xml:space="preserve">y/o de baja o nula tributación </w:t>
      </w:r>
      <w:proofErr w:type="gramStart"/>
      <w:r w:rsidR="00B25900" w:rsidRPr="00563551">
        <w:rPr>
          <w:rFonts w:ascii="Arial" w:hAnsi="Arial" w:cs="Arial"/>
          <w:sz w:val="24"/>
          <w:szCs w:val="24"/>
        </w:rPr>
        <w:t>mencionados</w:t>
      </w:r>
      <w:proofErr w:type="gramEnd"/>
      <w:r w:rsidR="00B25900" w:rsidRPr="00563551">
        <w:rPr>
          <w:rFonts w:ascii="Arial" w:hAnsi="Arial" w:cs="Arial"/>
          <w:sz w:val="24"/>
          <w:szCs w:val="24"/>
        </w:rPr>
        <w:t xml:space="preserve"> en los artículos 19 y 20, respectivamente, de la Ley de Impuesto a las Ganancias (</w:t>
      </w:r>
      <w:proofErr w:type="spellStart"/>
      <w:r w:rsidR="00B25900" w:rsidRPr="00563551">
        <w:rPr>
          <w:rFonts w:ascii="Arial" w:hAnsi="Arial" w:cs="Arial"/>
          <w:sz w:val="24"/>
          <w:szCs w:val="24"/>
        </w:rPr>
        <w:t>t.o</w:t>
      </w:r>
      <w:proofErr w:type="spellEnd"/>
      <w:r w:rsidR="00B25900" w:rsidRPr="00563551">
        <w:rPr>
          <w:rFonts w:ascii="Arial" w:hAnsi="Arial" w:cs="Arial"/>
          <w:sz w:val="24"/>
          <w:szCs w:val="24"/>
        </w:rPr>
        <w:t xml:space="preserve">. en 2019). </w:t>
      </w:r>
    </w:p>
    <w:p w14:paraId="3912C782" w14:textId="77777777" w:rsidR="00600610" w:rsidRPr="00600610" w:rsidRDefault="00600610" w:rsidP="00600610">
      <w:pPr>
        <w:pStyle w:val="Prrafodelista"/>
        <w:shd w:val="clear" w:color="auto" w:fill="FFFFFF"/>
        <w:spacing w:after="0" w:line="240" w:lineRule="auto"/>
        <w:jc w:val="both"/>
        <w:textAlignment w:val="bottom"/>
        <w:rPr>
          <w:rFonts w:ascii="Arial" w:eastAsia="Times New Roman" w:hAnsi="Arial" w:cs="Arial"/>
          <w:color w:val="1D2228"/>
          <w:sz w:val="24"/>
          <w:szCs w:val="24"/>
          <w:lang w:eastAsia="es-AR"/>
        </w:rPr>
      </w:pPr>
    </w:p>
    <w:p w14:paraId="2A673956" w14:textId="122E2492" w:rsidR="00F75941" w:rsidRPr="00600610" w:rsidRDefault="00F34D5F" w:rsidP="00600610">
      <w:pPr>
        <w:pStyle w:val="Prrafodelista"/>
        <w:numPr>
          <w:ilvl w:val="0"/>
          <w:numId w:val="3"/>
        </w:numPr>
        <w:shd w:val="clear" w:color="auto" w:fill="FFFFFF"/>
        <w:spacing w:after="0" w:line="240" w:lineRule="auto"/>
        <w:jc w:val="both"/>
        <w:textAlignment w:val="bottom"/>
        <w:rPr>
          <w:rFonts w:ascii="Arial" w:eastAsia="Times New Roman" w:hAnsi="Arial" w:cs="Arial"/>
          <w:color w:val="1D2228"/>
          <w:sz w:val="24"/>
          <w:szCs w:val="24"/>
          <w:lang w:eastAsia="es-AR"/>
        </w:rPr>
      </w:pPr>
      <w:hyperlink r:id="rId12" w:tgtFrame="_blank" w:history="1">
        <w:r w:rsidR="00F75941" w:rsidRPr="00600610">
          <w:rPr>
            <w:rFonts w:ascii="Arial" w:eastAsia="Times New Roman" w:hAnsi="Arial" w:cs="Arial"/>
            <w:color w:val="000000"/>
            <w:sz w:val="24"/>
            <w:szCs w:val="24"/>
            <w:lang w:eastAsia="es-AR"/>
          </w:rPr>
          <w:t>que figura en la lista de Estados que se niegan a negociar y firmar un acuerdo que establece, de conformidad con las normas de la </w:t>
        </w:r>
      </w:hyperlink>
      <w:bookmarkStart w:id="2" w:name="mot1077_3"/>
      <w:bookmarkEnd w:id="1"/>
      <w:r w:rsidR="00F75941" w:rsidRPr="00600610">
        <w:rPr>
          <w:rFonts w:ascii="Arial" w:eastAsia="Times New Roman" w:hAnsi="Arial" w:cs="Arial"/>
          <w:color w:val="1D2228"/>
          <w:sz w:val="24"/>
          <w:szCs w:val="24"/>
          <w:lang w:eastAsia="es-AR"/>
        </w:rPr>
        <w:fldChar w:fldCharType="begin"/>
      </w:r>
      <w:r w:rsidR="00F75941" w:rsidRPr="00600610">
        <w:rPr>
          <w:rFonts w:ascii="Arial" w:eastAsia="Times New Roman" w:hAnsi="Arial" w:cs="Arial"/>
          <w:color w:val="1D2228"/>
          <w:sz w:val="24"/>
          <w:szCs w:val="24"/>
          <w:lang w:eastAsia="es-AR"/>
        </w:rPr>
        <w:instrText xml:space="preserve"> HYPERLINK "http://www.cadtm.org/Organizacion-de-Cooperacion-y" \t "_blank" </w:instrText>
      </w:r>
      <w:r w:rsidR="00F75941" w:rsidRPr="00600610">
        <w:rPr>
          <w:rFonts w:ascii="Arial" w:eastAsia="Times New Roman" w:hAnsi="Arial" w:cs="Arial"/>
          <w:color w:val="1D2228"/>
          <w:sz w:val="24"/>
          <w:szCs w:val="24"/>
          <w:lang w:eastAsia="es-AR"/>
        </w:rPr>
        <w:fldChar w:fldCharType="separate"/>
      </w:r>
      <w:r w:rsidR="00F75941" w:rsidRPr="00600610">
        <w:rPr>
          <w:rFonts w:ascii="Arial" w:eastAsia="Times New Roman" w:hAnsi="Arial" w:cs="Arial"/>
          <w:i/>
          <w:iCs/>
          <w:color w:val="000000"/>
          <w:sz w:val="24"/>
          <w:szCs w:val="24"/>
          <w:lang w:eastAsia="es-AR"/>
        </w:rPr>
        <w:t>OCDE</w:t>
      </w:r>
      <w:r w:rsidR="00F75941" w:rsidRPr="00600610">
        <w:rPr>
          <w:rFonts w:ascii="Arial" w:eastAsia="Times New Roman" w:hAnsi="Arial" w:cs="Arial"/>
          <w:color w:val="000000"/>
          <w:sz w:val="24"/>
          <w:szCs w:val="24"/>
          <w:lang w:eastAsia="es-AR"/>
        </w:rPr>
        <w:t xml:space="preserve">, el intercambio automático de información en materia fiscal y bancaria con </w:t>
      </w:r>
      <w:r w:rsidR="00E24D57">
        <w:rPr>
          <w:rFonts w:ascii="Arial" w:eastAsia="Times New Roman" w:hAnsi="Arial" w:cs="Arial"/>
          <w:color w:val="000000"/>
          <w:sz w:val="24"/>
          <w:szCs w:val="24"/>
          <w:lang w:eastAsia="es-AR"/>
        </w:rPr>
        <w:t>Argentina</w:t>
      </w:r>
      <w:r w:rsidR="00F75941" w:rsidRPr="00600610">
        <w:rPr>
          <w:rFonts w:ascii="Arial" w:eastAsia="Times New Roman" w:hAnsi="Arial" w:cs="Arial"/>
          <w:color w:val="000000"/>
          <w:sz w:val="24"/>
          <w:szCs w:val="24"/>
          <w:lang w:eastAsia="es-AR"/>
        </w:rPr>
        <w:t xml:space="preserve"> a partir de 20</w:t>
      </w:r>
      <w:r w:rsidR="00E00CAF">
        <w:rPr>
          <w:rFonts w:ascii="Arial" w:eastAsia="Times New Roman" w:hAnsi="Arial" w:cs="Arial"/>
          <w:color w:val="000000"/>
          <w:sz w:val="24"/>
          <w:szCs w:val="24"/>
          <w:lang w:eastAsia="es-AR"/>
        </w:rPr>
        <w:t>12</w:t>
      </w:r>
      <w:r w:rsidR="00F75941" w:rsidRPr="00600610">
        <w:rPr>
          <w:rFonts w:ascii="Arial" w:eastAsia="Times New Roman" w:hAnsi="Arial" w:cs="Arial"/>
          <w:color w:val="000000"/>
          <w:sz w:val="24"/>
          <w:szCs w:val="24"/>
          <w:lang w:eastAsia="es-AR"/>
        </w:rPr>
        <w:t>;</w:t>
      </w:r>
      <w:r w:rsidR="00F75941" w:rsidRPr="00600610">
        <w:rPr>
          <w:rFonts w:ascii="Arial" w:eastAsia="Times New Roman" w:hAnsi="Arial" w:cs="Arial"/>
          <w:color w:val="1D2228"/>
          <w:sz w:val="24"/>
          <w:szCs w:val="24"/>
          <w:lang w:eastAsia="es-AR"/>
        </w:rPr>
        <w:fldChar w:fldCharType="end"/>
      </w:r>
    </w:p>
    <w:p w14:paraId="73D86F53" w14:textId="77777777" w:rsidR="00860BE8" w:rsidRPr="00860BE8" w:rsidRDefault="00860BE8" w:rsidP="00E24D57">
      <w:pPr>
        <w:shd w:val="clear" w:color="auto" w:fill="FFFFFF"/>
        <w:spacing w:after="0" w:line="240" w:lineRule="auto"/>
        <w:jc w:val="both"/>
        <w:textAlignment w:val="bottom"/>
        <w:rPr>
          <w:rFonts w:ascii="Arial" w:eastAsia="Times New Roman" w:hAnsi="Arial" w:cs="Arial"/>
          <w:color w:val="1D2228"/>
          <w:sz w:val="24"/>
          <w:szCs w:val="24"/>
          <w:lang w:eastAsia="es-AR"/>
        </w:rPr>
      </w:pPr>
    </w:p>
    <w:p w14:paraId="550F700F" w14:textId="6429CD12" w:rsidR="00F75941" w:rsidRPr="00E24D57" w:rsidRDefault="00F34D5F" w:rsidP="00E24D57">
      <w:pPr>
        <w:pStyle w:val="Prrafodelista"/>
        <w:numPr>
          <w:ilvl w:val="0"/>
          <w:numId w:val="2"/>
        </w:numPr>
        <w:shd w:val="clear" w:color="auto" w:fill="FFFFFF"/>
        <w:spacing w:after="0" w:line="240" w:lineRule="auto"/>
        <w:jc w:val="both"/>
        <w:textAlignment w:val="bottom"/>
        <w:rPr>
          <w:rFonts w:ascii="Arial" w:eastAsia="Times New Roman" w:hAnsi="Arial" w:cs="Arial"/>
          <w:color w:val="1D2228"/>
          <w:sz w:val="24"/>
          <w:szCs w:val="24"/>
          <w:lang w:eastAsia="es-AR"/>
        </w:rPr>
      </w:pPr>
      <w:hyperlink r:id="rId13" w:tgtFrame="_blank" w:history="1">
        <w:r w:rsidR="00563551">
          <w:rPr>
            <w:rFonts w:ascii="Arial" w:eastAsia="Times New Roman" w:hAnsi="Arial" w:cs="Arial"/>
            <w:color w:val="000000"/>
            <w:sz w:val="24"/>
            <w:szCs w:val="24"/>
            <w:lang w:eastAsia="es-AR"/>
          </w:rPr>
          <w:t>Que e</w:t>
        </w:r>
        <w:r w:rsidR="00F75941" w:rsidRPr="00E24D57">
          <w:rPr>
            <w:rFonts w:ascii="Arial" w:eastAsia="Times New Roman" w:hAnsi="Arial" w:cs="Arial"/>
            <w:color w:val="000000"/>
            <w:sz w:val="24"/>
            <w:szCs w:val="24"/>
            <w:lang w:eastAsia="es-AR"/>
          </w:rPr>
          <w:t>l acreedor ha</w:t>
        </w:r>
        <w:r w:rsidR="00911159">
          <w:rPr>
            <w:rFonts w:ascii="Arial" w:eastAsia="Times New Roman" w:hAnsi="Arial" w:cs="Arial"/>
            <w:color w:val="000000"/>
            <w:sz w:val="24"/>
            <w:szCs w:val="24"/>
            <w:lang w:eastAsia="es-AR"/>
          </w:rPr>
          <w:t xml:space="preserve"> hecho o hace </w:t>
        </w:r>
        <w:r w:rsidR="00F75941" w:rsidRPr="00E24D57">
          <w:rPr>
            <w:rFonts w:ascii="Arial" w:eastAsia="Times New Roman" w:hAnsi="Arial" w:cs="Arial"/>
            <w:color w:val="000000"/>
            <w:sz w:val="24"/>
            <w:szCs w:val="24"/>
            <w:lang w:eastAsia="es-AR"/>
          </w:rPr>
          <w:t>uso sistemático de procedimientos legales para conseguir el reembolso de</w:t>
        </w:r>
        <w:r w:rsidR="00E24D57">
          <w:rPr>
            <w:rFonts w:ascii="Arial" w:eastAsia="Times New Roman" w:hAnsi="Arial" w:cs="Arial"/>
            <w:color w:val="000000"/>
            <w:sz w:val="24"/>
            <w:szCs w:val="24"/>
            <w:lang w:eastAsia="es-AR"/>
          </w:rPr>
          <w:t xml:space="preserve"> la deuda o deudas</w:t>
        </w:r>
        <w:r w:rsidR="00F75941" w:rsidRPr="00E24D57">
          <w:rPr>
            <w:rFonts w:ascii="Arial" w:eastAsia="Times New Roman" w:hAnsi="Arial" w:cs="Arial"/>
            <w:color w:val="000000"/>
            <w:sz w:val="24"/>
            <w:szCs w:val="24"/>
            <w:lang w:eastAsia="es-AR"/>
          </w:rPr>
          <w:t xml:space="preserve"> que haya </w:t>
        </w:r>
        <w:r w:rsidR="00F75941" w:rsidRPr="00E24D57">
          <w:rPr>
            <w:rFonts w:ascii="Arial" w:eastAsia="Times New Roman" w:hAnsi="Arial" w:cs="Arial"/>
            <w:color w:val="000000"/>
            <w:sz w:val="24"/>
            <w:szCs w:val="24"/>
            <w:lang w:eastAsia="es-AR"/>
          </w:rPr>
          <w:lastRenderedPageBreak/>
          <w:t>recomprado anteriormente</w:t>
        </w:r>
        <w:r w:rsidR="00911159">
          <w:rPr>
            <w:rFonts w:ascii="Arial" w:eastAsia="Times New Roman" w:hAnsi="Arial" w:cs="Arial"/>
            <w:color w:val="000000"/>
            <w:sz w:val="24"/>
            <w:szCs w:val="24"/>
            <w:lang w:eastAsia="es-AR"/>
          </w:rPr>
          <w:t>, tanto del Estado Argentino como de otros Estados miembros de la comunidad internacional</w:t>
        </w:r>
        <w:r w:rsidR="00F75941" w:rsidRPr="00E24D57">
          <w:rPr>
            <w:rFonts w:ascii="Arial" w:eastAsia="Times New Roman" w:hAnsi="Arial" w:cs="Arial"/>
            <w:color w:val="000000"/>
            <w:sz w:val="24"/>
            <w:szCs w:val="24"/>
            <w:lang w:eastAsia="es-AR"/>
          </w:rPr>
          <w:t>;</w:t>
        </w:r>
      </w:hyperlink>
    </w:p>
    <w:p w14:paraId="496FF0AA" w14:textId="77777777" w:rsidR="00860BE8" w:rsidRPr="00860BE8" w:rsidRDefault="00860BE8" w:rsidP="00E24D57">
      <w:pPr>
        <w:shd w:val="clear" w:color="auto" w:fill="FFFFFF"/>
        <w:spacing w:after="0" w:line="240" w:lineRule="auto"/>
        <w:jc w:val="both"/>
        <w:textAlignment w:val="bottom"/>
        <w:rPr>
          <w:rFonts w:ascii="Arial" w:eastAsia="Times New Roman" w:hAnsi="Arial" w:cs="Arial"/>
          <w:color w:val="1D2228"/>
          <w:sz w:val="24"/>
          <w:szCs w:val="24"/>
          <w:lang w:eastAsia="es-AR"/>
        </w:rPr>
      </w:pPr>
    </w:p>
    <w:p w14:paraId="4C4AC4CB" w14:textId="03922B94" w:rsidR="00F75941" w:rsidRPr="00F67863" w:rsidRDefault="00F34D5F" w:rsidP="00E24D57">
      <w:pPr>
        <w:pStyle w:val="Prrafodelista"/>
        <w:numPr>
          <w:ilvl w:val="0"/>
          <w:numId w:val="2"/>
        </w:numPr>
        <w:shd w:val="clear" w:color="auto" w:fill="FFFFFF"/>
        <w:spacing w:after="0" w:line="240" w:lineRule="auto"/>
        <w:jc w:val="both"/>
        <w:textAlignment w:val="bottom"/>
        <w:rPr>
          <w:rFonts w:ascii="Arial" w:eastAsia="Times New Roman" w:hAnsi="Arial" w:cs="Arial"/>
          <w:color w:val="1D2228"/>
          <w:sz w:val="24"/>
          <w:szCs w:val="24"/>
          <w:lang w:eastAsia="es-AR"/>
        </w:rPr>
      </w:pPr>
      <w:hyperlink r:id="rId14" w:tgtFrame="_blank" w:history="1">
        <w:r w:rsidR="00563551">
          <w:rPr>
            <w:rFonts w:ascii="Arial" w:eastAsia="Times New Roman" w:hAnsi="Arial" w:cs="Arial"/>
            <w:color w:val="000000"/>
            <w:sz w:val="24"/>
            <w:szCs w:val="24"/>
            <w:lang w:eastAsia="es-AR"/>
          </w:rPr>
          <w:t>Que e</w:t>
        </w:r>
        <w:r w:rsidR="00F75941" w:rsidRPr="00E24D57">
          <w:rPr>
            <w:rFonts w:ascii="Arial" w:eastAsia="Times New Roman" w:hAnsi="Arial" w:cs="Arial"/>
            <w:color w:val="000000"/>
            <w:sz w:val="24"/>
            <w:szCs w:val="24"/>
            <w:lang w:eastAsia="es-AR"/>
          </w:rPr>
          <w:t xml:space="preserve">l Estado es objeto de medidas de reestructuración de su deuda, de las cuales el acreedor se niega </w:t>
        </w:r>
        <w:r w:rsidR="00F67863">
          <w:rPr>
            <w:rFonts w:ascii="Arial" w:eastAsia="Times New Roman" w:hAnsi="Arial" w:cs="Arial"/>
            <w:color w:val="000000"/>
            <w:sz w:val="24"/>
            <w:szCs w:val="24"/>
            <w:lang w:eastAsia="es-AR"/>
          </w:rPr>
          <w:t xml:space="preserve">o se ha negado </w:t>
        </w:r>
        <w:r w:rsidR="00F75941" w:rsidRPr="00E24D57">
          <w:rPr>
            <w:rFonts w:ascii="Arial" w:eastAsia="Times New Roman" w:hAnsi="Arial" w:cs="Arial"/>
            <w:color w:val="000000"/>
            <w:sz w:val="24"/>
            <w:szCs w:val="24"/>
            <w:lang w:eastAsia="es-AR"/>
          </w:rPr>
          <w:t>a participar;</w:t>
        </w:r>
      </w:hyperlink>
    </w:p>
    <w:p w14:paraId="4476DE6A" w14:textId="77777777" w:rsidR="00F67863" w:rsidRPr="00F67863" w:rsidRDefault="00F67863" w:rsidP="00F67863">
      <w:pPr>
        <w:pStyle w:val="Prrafodelista"/>
        <w:rPr>
          <w:rFonts w:ascii="Arial" w:eastAsia="Times New Roman" w:hAnsi="Arial" w:cs="Arial"/>
          <w:color w:val="1D2228"/>
          <w:sz w:val="24"/>
          <w:szCs w:val="24"/>
          <w:lang w:eastAsia="es-AR"/>
        </w:rPr>
      </w:pPr>
    </w:p>
    <w:p w14:paraId="6B6C7550" w14:textId="176F1B2F" w:rsidR="00F75941" w:rsidRPr="00F67863" w:rsidRDefault="00F34D5F" w:rsidP="00F67863">
      <w:pPr>
        <w:pStyle w:val="Prrafodelista"/>
        <w:numPr>
          <w:ilvl w:val="0"/>
          <w:numId w:val="2"/>
        </w:numPr>
        <w:shd w:val="clear" w:color="auto" w:fill="FFFFFF"/>
        <w:spacing w:after="0" w:line="240" w:lineRule="auto"/>
        <w:jc w:val="both"/>
        <w:textAlignment w:val="bottom"/>
        <w:rPr>
          <w:rFonts w:ascii="Arial" w:eastAsia="Times New Roman" w:hAnsi="Arial" w:cs="Arial"/>
          <w:color w:val="1D2228"/>
          <w:sz w:val="24"/>
          <w:szCs w:val="24"/>
          <w:lang w:eastAsia="es-AR"/>
        </w:rPr>
      </w:pPr>
      <w:hyperlink r:id="rId15" w:tgtFrame="_blank" w:history="1">
        <w:r w:rsidR="00563551">
          <w:rPr>
            <w:rFonts w:ascii="Arial" w:eastAsia="Times New Roman" w:hAnsi="Arial" w:cs="Arial"/>
            <w:color w:val="000000"/>
            <w:sz w:val="24"/>
            <w:szCs w:val="24"/>
            <w:lang w:eastAsia="es-AR"/>
          </w:rPr>
          <w:t>Que e</w:t>
        </w:r>
        <w:r w:rsidR="00F75941" w:rsidRPr="00F67863">
          <w:rPr>
            <w:rFonts w:ascii="Arial" w:eastAsia="Times New Roman" w:hAnsi="Arial" w:cs="Arial"/>
            <w:color w:val="000000"/>
            <w:sz w:val="24"/>
            <w:szCs w:val="24"/>
            <w:lang w:eastAsia="es-AR"/>
          </w:rPr>
          <w:t>l acreedor ha abusado</w:t>
        </w:r>
        <w:r w:rsidR="007E050E">
          <w:rPr>
            <w:rFonts w:ascii="Arial" w:eastAsia="Times New Roman" w:hAnsi="Arial" w:cs="Arial"/>
            <w:color w:val="000000"/>
            <w:sz w:val="24"/>
            <w:szCs w:val="24"/>
            <w:lang w:eastAsia="es-AR"/>
          </w:rPr>
          <w:t xml:space="preserve">, en anteriores ocasiones, </w:t>
        </w:r>
        <w:r w:rsidR="00F75941" w:rsidRPr="00F67863">
          <w:rPr>
            <w:rFonts w:ascii="Arial" w:eastAsia="Times New Roman" w:hAnsi="Arial" w:cs="Arial"/>
            <w:color w:val="000000"/>
            <w:sz w:val="24"/>
            <w:szCs w:val="24"/>
            <w:lang w:eastAsia="es-AR"/>
          </w:rPr>
          <w:t>de la situación de debilidad del Estado</w:t>
        </w:r>
        <w:r w:rsidR="00F67863">
          <w:rPr>
            <w:rFonts w:ascii="Arial" w:eastAsia="Times New Roman" w:hAnsi="Arial" w:cs="Arial"/>
            <w:color w:val="000000"/>
            <w:sz w:val="24"/>
            <w:szCs w:val="24"/>
            <w:lang w:eastAsia="es-AR"/>
          </w:rPr>
          <w:t xml:space="preserve"> </w:t>
        </w:r>
        <w:r w:rsidR="00F75941" w:rsidRPr="00F67863">
          <w:rPr>
            <w:rFonts w:ascii="Arial" w:eastAsia="Times New Roman" w:hAnsi="Arial" w:cs="Arial"/>
            <w:color w:val="000000"/>
            <w:sz w:val="24"/>
            <w:szCs w:val="24"/>
            <w:lang w:eastAsia="es-AR"/>
          </w:rPr>
          <w:t>para negociar un acuerdo de reembolso claramente desequilibrado;</w:t>
        </w:r>
      </w:hyperlink>
    </w:p>
    <w:p w14:paraId="075560A9" w14:textId="77777777" w:rsidR="00860BE8" w:rsidRPr="00860BE8" w:rsidRDefault="00860BE8" w:rsidP="00860BE8">
      <w:pPr>
        <w:shd w:val="clear" w:color="auto" w:fill="FFFFFF"/>
        <w:spacing w:after="0" w:line="240" w:lineRule="auto"/>
        <w:jc w:val="both"/>
        <w:textAlignment w:val="bottom"/>
        <w:rPr>
          <w:rFonts w:ascii="Arial" w:eastAsia="Times New Roman" w:hAnsi="Arial" w:cs="Arial"/>
          <w:color w:val="1D2228"/>
          <w:sz w:val="24"/>
          <w:szCs w:val="24"/>
          <w:lang w:eastAsia="es-AR"/>
        </w:rPr>
      </w:pPr>
    </w:p>
    <w:p w14:paraId="5B002DF4" w14:textId="64B0D17F" w:rsidR="00F75941" w:rsidRPr="007E050E" w:rsidRDefault="00F34D5F" w:rsidP="007E050E">
      <w:pPr>
        <w:pStyle w:val="Prrafodelista"/>
        <w:numPr>
          <w:ilvl w:val="0"/>
          <w:numId w:val="2"/>
        </w:numPr>
        <w:shd w:val="clear" w:color="auto" w:fill="FFFFFF"/>
        <w:spacing w:after="0" w:line="240" w:lineRule="auto"/>
        <w:jc w:val="both"/>
        <w:textAlignment w:val="bottom"/>
        <w:rPr>
          <w:rFonts w:ascii="Arial" w:eastAsia="Times New Roman" w:hAnsi="Arial" w:cs="Arial"/>
          <w:color w:val="1D2228"/>
          <w:sz w:val="24"/>
          <w:szCs w:val="24"/>
          <w:lang w:eastAsia="es-AR"/>
        </w:rPr>
      </w:pPr>
      <w:hyperlink r:id="rId16" w:tgtFrame="_blank" w:history="1">
        <w:r w:rsidR="00563551">
          <w:rPr>
            <w:rFonts w:ascii="Arial" w:eastAsia="Times New Roman" w:hAnsi="Arial" w:cs="Arial"/>
            <w:color w:val="000000"/>
            <w:sz w:val="24"/>
            <w:szCs w:val="24"/>
            <w:lang w:eastAsia="es-AR"/>
          </w:rPr>
          <w:t>Que e</w:t>
        </w:r>
        <w:r w:rsidR="00F75941" w:rsidRPr="007E050E">
          <w:rPr>
            <w:rFonts w:ascii="Arial" w:eastAsia="Times New Roman" w:hAnsi="Arial" w:cs="Arial"/>
            <w:color w:val="000000"/>
            <w:sz w:val="24"/>
            <w:szCs w:val="24"/>
            <w:lang w:eastAsia="es-AR"/>
          </w:rPr>
          <w:t>l reembolso integral de los montos reclamados por el acreedor tendría un impacto adverso identificable sobre las finanzas públicas del Estado y podría poner en peligro el desarrollo socio-económico de su población.</w:t>
        </w:r>
      </w:hyperlink>
    </w:p>
    <w:bookmarkEnd w:id="2"/>
    <w:p w14:paraId="38E0EA7B" w14:textId="2D7B3A2B" w:rsidR="001C227E" w:rsidRDefault="001C227E" w:rsidP="00F75941">
      <w:pPr>
        <w:shd w:val="clear" w:color="auto" w:fill="FFFFFF"/>
        <w:spacing w:after="0" w:line="240" w:lineRule="auto"/>
        <w:jc w:val="both"/>
        <w:textAlignment w:val="bottom"/>
        <w:rPr>
          <w:rFonts w:ascii="Arial" w:hAnsi="Arial" w:cs="Arial"/>
          <w:sz w:val="24"/>
          <w:szCs w:val="24"/>
        </w:rPr>
      </w:pPr>
    </w:p>
    <w:p w14:paraId="6B73409C" w14:textId="5786DE51" w:rsidR="008B6966" w:rsidRDefault="008B6966" w:rsidP="00F75941">
      <w:pPr>
        <w:shd w:val="clear" w:color="auto" w:fill="FFFFFF"/>
        <w:spacing w:after="0" w:line="240" w:lineRule="auto"/>
        <w:jc w:val="both"/>
        <w:textAlignment w:val="bottom"/>
        <w:rPr>
          <w:rFonts w:ascii="Arial" w:hAnsi="Arial" w:cs="Arial"/>
          <w:sz w:val="24"/>
          <w:szCs w:val="24"/>
        </w:rPr>
      </w:pPr>
      <w:r w:rsidRPr="008B6966">
        <w:rPr>
          <w:rFonts w:ascii="Arial" w:hAnsi="Arial" w:cs="Arial"/>
          <w:b/>
          <w:bCs/>
          <w:sz w:val="24"/>
          <w:szCs w:val="24"/>
        </w:rPr>
        <w:t xml:space="preserve">Artículo 5°: </w:t>
      </w:r>
      <w:r>
        <w:rPr>
          <w:rFonts w:ascii="Arial" w:hAnsi="Arial" w:cs="Arial"/>
          <w:sz w:val="24"/>
          <w:szCs w:val="24"/>
        </w:rPr>
        <w:t xml:space="preserve">En el caso en que los prospectos de emisión de la deuda del Estado establezcan normativas legales que </w:t>
      </w:r>
      <w:r w:rsidR="00991AE5">
        <w:rPr>
          <w:rFonts w:ascii="Arial" w:hAnsi="Arial" w:cs="Arial"/>
          <w:sz w:val="24"/>
          <w:szCs w:val="24"/>
        </w:rPr>
        <w:t xml:space="preserve">cedan la soberanía jurídica a tribunales extranjeros, los acreedores privados podrán realizar demandas contra el Estado por la deuda en dichos tribunales, en cuyo caso podrán existir fallos de dichos jueces o tribunales extranjeros que puedan ser contrarios al Estado. Ante esta situación, ningún funcionario público podrá realizar ningún pago derivado de dichos fallos hasta tanto estos no se encuentren revisados por </w:t>
      </w:r>
      <w:r w:rsidR="00360DE0">
        <w:rPr>
          <w:rFonts w:ascii="Arial" w:hAnsi="Arial" w:cs="Arial"/>
          <w:sz w:val="24"/>
          <w:szCs w:val="24"/>
        </w:rPr>
        <w:t xml:space="preserve">los </w:t>
      </w:r>
      <w:r w:rsidR="00991AE5">
        <w:rPr>
          <w:rFonts w:ascii="Arial" w:hAnsi="Arial" w:cs="Arial"/>
          <w:sz w:val="24"/>
          <w:szCs w:val="24"/>
        </w:rPr>
        <w:t xml:space="preserve">tribunales nacionales </w:t>
      </w:r>
      <w:r w:rsidR="00360DE0">
        <w:rPr>
          <w:rFonts w:ascii="Arial" w:hAnsi="Arial" w:cs="Arial"/>
          <w:sz w:val="24"/>
          <w:szCs w:val="24"/>
        </w:rPr>
        <w:t>que correspondan en cada caso.</w:t>
      </w:r>
    </w:p>
    <w:p w14:paraId="6C0BA74F" w14:textId="3E386891" w:rsidR="0042521C" w:rsidRDefault="0042521C" w:rsidP="00F75941">
      <w:pPr>
        <w:shd w:val="clear" w:color="auto" w:fill="FFFFFF"/>
        <w:spacing w:after="0" w:line="240" w:lineRule="auto"/>
        <w:jc w:val="both"/>
        <w:textAlignment w:val="bottom"/>
        <w:rPr>
          <w:rFonts w:ascii="Arial" w:hAnsi="Arial" w:cs="Arial"/>
          <w:sz w:val="24"/>
          <w:szCs w:val="24"/>
        </w:rPr>
      </w:pPr>
    </w:p>
    <w:p w14:paraId="084DA463" w14:textId="0BF2A94F" w:rsidR="00991AE5" w:rsidRDefault="00991AE5" w:rsidP="00F75941">
      <w:pPr>
        <w:shd w:val="clear" w:color="auto" w:fill="FFFFFF"/>
        <w:spacing w:after="0" w:line="240" w:lineRule="auto"/>
        <w:jc w:val="both"/>
        <w:textAlignment w:val="bottom"/>
        <w:rPr>
          <w:rFonts w:ascii="Arial" w:hAnsi="Arial" w:cs="Arial"/>
          <w:sz w:val="24"/>
          <w:szCs w:val="24"/>
        </w:rPr>
      </w:pPr>
      <w:r w:rsidRPr="00991AE5">
        <w:rPr>
          <w:rFonts w:ascii="Arial" w:hAnsi="Arial" w:cs="Arial"/>
          <w:b/>
          <w:bCs/>
          <w:sz w:val="24"/>
          <w:szCs w:val="24"/>
        </w:rPr>
        <w:t>Artículo 6°:</w:t>
      </w:r>
      <w:r>
        <w:rPr>
          <w:rFonts w:ascii="Arial" w:hAnsi="Arial" w:cs="Arial"/>
          <w:b/>
          <w:bCs/>
          <w:sz w:val="24"/>
          <w:szCs w:val="24"/>
        </w:rPr>
        <w:t xml:space="preserve"> </w:t>
      </w:r>
      <w:r w:rsidRPr="00991AE5">
        <w:rPr>
          <w:rFonts w:ascii="Arial" w:hAnsi="Arial" w:cs="Arial"/>
          <w:sz w:val="24"/>
          <w:szCs w:val="24"/>
        </w:rPr>
        <w:t xml:space="preserve">Los </w:t>
      </w:r>
      <w:r w:rsidR="00811B3E">
        <w:rPr>
          <w:rFonts w:ascii="Arial" w:hAnsi="Arial" w:cs="Arial"/>
          <w:sz w:val="24"/>
          <w:szCs w:val="24"/>
        </w:rPr>
        <w:t xml:space="preserve">recursos públicos </w:t>
      </w:r>
      <w:r w:rsidRPr="00991AE5">
        <w:rPr>
          <w:rFonts w:ascii="Arial" w:hAnsi="Arial" w:cs="Arial"/>
          <w:sz w:val="24"/>
          <w:szCs w:val="24"/>
        </w:rPr>
        <w:t xml:space="preserve">para hacer </w:t>
      </w:r>
      <w:r w:rsidR="00811B3E">
        <w:rPr>
          <w:rFonts w:ascii="Arial" w:hAnsi="Arial" w:cs="Arial"/>
          <w:sz w:val="24"/>
          <w:szCs w:val="24"/>
        </w:rPr>
        <w:t xml:space="preserve">frente a </w:t>
      </w:r>
      <w:r w:rsidRPr="00991AE5">
        <w:rPr>
          <w:rFonts w:ascii="Arial" w:hAnsi="Arial" w:cs="Arial"/>
          <w:sz w:val="24"/>
          <w:szCs w:val="24"/>
        </w:rPr>
        <w:t xml:space="preserve">pagos </w:t>
      </w:r>
      <w:r w:rsidR="00811B3E">
        <w:rPr>
          <w:rFonts w:ascii="Arial" w:hAnsi="Arial" w:cs="Arial"/>
          <w:sz w:val="24"/>
          <w:szCs w:val="24"/>
        </w:rPr>
        <w:t xml:space="preserve">que puedan surgir en la dinámica de actuación </w:t>
      </w:r>
      <w:r w:rsidR="00360DE0">
        <w:rPr>
          <w:rFonts w:ascii="Arial" w:hAnsi="Arial" w:cs="Arial"/>
          <w:sz w:val="24"/>
          <w:szCs w:val="24"/>
        </w:rPr>
        <w:t xml:space="preserve">judicial </w:t>
      </w:r>
      <w:r w:rsidR="00811B3E">
        <w:rPr>
          <w:rFonts w:ascii="Arial" w:hAnsi="Arial" w:cs="Arial"/>
          <w:sz w:val="24"/>
          <w:szCs w:val="24"/>
        </w:rPr>
        <w:t>de acreedores contra el Estado</w:t>
      </w:r>
      <w:r w:rsidR="00360DE0">
        <w:rPr>
          <w:rFonts w:ascii="Arial" w:hAnsi="Arial" w:cs="Arial"/>
          <w:sz w:val="24"/>
          <w:szCs w:val="24"/>
        </w:rPr>
        <w:t>,</w:t>
      </w:r>
      <w:r w:rsidR="00811B3E">
        <w:rPr>
          <w:rFonts w:ascii="Arial" w:hAnsi="Arial" w:cs="Arial"/>
          <w:sz w:val="24"/>
          <w:szCs w:val="24"/>
        </w:rPr>
        <w:t xml:space="preserve"> deberán ser asignados y aprobados por Ley del Congreso Nacional, con </w:t>
      </w:r>
      <w:r w:rsidR="00F67512">
        <w:rPr>
          <w:rFonts w:ascii="Arial" w:hAnsi="Arial" w:cs="Arial"/>
          <w:sz w:val="24"/>
          <w:szCs w:val="24"/>
        </w:rPr>
        <w:t>las dos terceras partes de los legisladores presentes, tanto en la Cámara de Diputados como en la de Senadores.</w:t>
      </w:r>
    </w:p>
    <w:p w14:paraId="1A40A794" w14:textId="3D6987AC" w:rsidR="00302425" w:rsidRDefault="00302425" w:rsidP="00F75941">
      <w:pPr>
        <w:shd w:val="clear" w:color="auto" w:fill="FFFFFF"/>
        <w:spacing w:after="0" w:line="240" w:lineRule="auto"/>
        <w:jc w:val="both"/>
        <w:textAlignment w:val="bottom"/>
        <w:rPr>
          <w:rFonts w:ascii="Arial" w:hAnsi="Arial" w:cs="Arial"/>
          <w:sz w:val="24"/>
          <w:szCs w:val="24"/>
        </w:rPr>
      </w:pPr>
    </w:p>
    <w:p w14:paraId="1486A016" w14:textId="01A4500B" w:rsidR="00302425" w:rsidRPr="00302425" w:rsidRDefault="00302425" w:rsidP="00F75941">
      <w:pPr>
        <w:shd w:val="clear" w:color="auto" w:fill="FFFFFF"/>
        <w:spacing w:after="0" w:line="240" w:lineRule="auto"/>
        <w:jc w:val="both"/>
        <w:textAlignment w:val="bottom"/>
        <w:rPr>
          <w:rFonts w:ascii="Arial" w:hAnsi="Arial" w:cs="Arial"/>
          <w:sz w:val="24"/>
          <w:szCs w:val="24"/>
        </w:rPr>
      </w:pPr>
      <w:r w:rsidRPr="00302425">
        <w:rPr>
          <w:rFonts w:ascii="Arial" w:hAnsi="Arial" w:cs="Arial"/>
          <w:b/>
          <w:bCs/>
          <w:sz w:val="24"/>
          <w:szCs w:val="24"/>
        </w:rPr>
        <w:t>Artículo 7</w:t>
      </w:r>
      <w:r w:rsidRPr="00302425">
        <w:rPr>
          <w:rFonts w:ascii="Arial" w:hAnsi="Arial" w:cs="Arial"/>
          <w:sz w:val="24"/>
          <w:szCs w:val="24"/>
        </w:rPr>
        <w:t>°: Las</w:t>
      </w:r>
      <w:r>
        <w:rPr>
          <w:rFonts w:ascii="Arial" w:hAnsi="Arial" w:cs="Arial"/>
          <w:sz w:val="24"/>
          <w:szCs w:val="24"/>
        </w:rPr>
        <w:t xml:space="preserve"> condiciones establecidas en el Artículo 4° referidas a los acreedores privados serán aplicables no sólo a quienes detenten la titularidad formal de la tenencia de la deuda, sino que se hará extensiva a las personas humanas que resulten beneficiarios finales de tales acreencias.</w:t>
      </w:r>
    </w:p>
    <w:p w14:paraId="6F1D2E2C" w14:textId="25C07D4A" w:rsidR="00911159" w:rsidRDefault="00911159" w:rsidP="00F75941">
      <w:pPr>
        <w:shd w:val="clear" w:color="auto" w:fill="FFFFFF"/>
        <w:spacing w:after="0" w:line="240" w:lineRule="auto"/>
        <w:jc w:val="both"/>
        <w:textAlignment w:val="bottom"/>
        <w:rPr>
          <w:rFonts w:ascii="Arial" w:hAnsi="Arial" w:cs="Arial"/>
          <w:sz w:val="24"/>
          <w:szCs w:val="24"/>
        </w:rPr>
      </w:pPr>
    </w:p>
    <w:p w14:paraId="64933741" w14:textId="10A38DD7" w:rsidR="004E0C97" w:rsidRDefault="004E0C97" w:rsidP="00F75941">
      <w:pPr>
        <w:shd w:val="clear" w:color="auto" w:fill="FFFFFF"/>
        <w:spacing w:after="0" w:line="240" w:lineRule="auto"/>
        <w:jc w:val="both"/>
        <w:textAlignment w:val="bottom"/>
        <w:rPr>
          <w:rFonts w:ascii="Arial" w:hAnsi="Arial" w:cs="Arial"/>
          <w:sz w:val="24"/>
          <w:szCs w:val="24"/>
        </w:rPr>
      </w:pPr>
      <w:r w:rsidRPr="00E35B23">
        <w:rPr>
          <w:rFonts w:ascii="Arial" w:hAnsi="Arial" w:cs="Arial"/>
          <w:b/>
          <w:bCs/>
          <w:sz w:val="24"/>
          <w:szCs w:val="24"/>
        </w:rPr>
        <w:t>Artículo 8°:</w:t>
      </w:r>
      <w:r>
        <w:rPr>
          <w:rFonts w:ascii="Arial" w:hAnsi="Arial" w:cs="Arial"/>
          <w:sz w:val="24"/>
          <w:szCs w:val="24"/>
        </w:rPr>
        <w:t xml:space="preserve"> El Ministerio de Economía de la Nación será la Autoridad de Aplicación, debiendo establecer los procedimientos y </w:t>
      </w:r>
      <w:r w:rsidR="00E35B23">
        <w:rPr>
          <w:rFonts w:ascii="Arial" w:hAnsi="Arial" w:cs="Arial"/>
          <w:sz w:val="24"/>
          <w:szCs w:val="24"/>
        </w:rPr>
        <w:t xml:space="preserve">mecanismos necesarios para llevar a la práctica lo </w:t>
      </w:r>
      <w:r w:rsidR="0054293A">
        <w:rPr>
          <w:rFonts w:ascii="Arial" w:hAnsi="Arial" w:cs="Arial"/>
          <w:sz w:val="24"/>
          <w:szCs w:val="24"/>
        </w:rPr>
        <w:t>determinado por la presente Ley.</w:t>
      </w:r>
    </w:p>
    <w:p w14:paraId="6D8525A1" w14:textId="280177FE" w:rsidR="00C42317" w:rsidRDefault="00C42317" w:rsidP="00F75941">
      <w:pPr>
        <w:shd w:val="clear" w:color="auto" w:fill="FFFFFF"/>
        <w:spacing w:after="0" w:line="240" w:lineRule="auto"/>
        <w:jc w:val="both"/>
        <w:textAlignment w:val="bottom"/>
        <w:rPr>
          <w:rFonts w:ascii="Arial" w:hAnsi="Arial" w:cs="Arial"/>
          <w:sz w:val="24"/>
          <w:szCs w:val="24"/>
        </w:rPr>
      </w:pPr>
    </w:p>
    <w:p w14:paraId="5B651154" w14:textId="6FD72B49" w:rsidR="00C42317" w:rsidRDefault="00C42317" w:rsidP="00F75941">
      <w:pPr>
        <w:shd w:val="clear" w:color="auto" w:fill="FFFFFF"/>
        <w:spacing w:after="0" w:line="240" w:lineRule="auto"/>
        <w:jc w:val="both"/>
        <w:textAlignment w:val="bottom"/>
        <w:rPr>
          <w:rFonts w:ascii="Arial" w:hAnsi="Arial" w:cs="Arial"/>
          <w:sz w:val="24"/>
          <w:szCs w:val="24"/>
        </w:rPr>
      </w:pPr>
      <w:r w:rsidRPr="00C42317">
        <w:rPr>
          <w:rFonts w:ascii="Arial" w:hAnsi="Arial" w:cs="Arial"/>
          <w:b/>
          <w:bCs/>
          <w:sz w:val="24"/>
          <w:szCs w:val="24"/>
        </w:rPr>
        <w:t>Artículo 9°:</w:t>
      </w:r>
      <w:r>
        <w:rPr>
          <w:rFonts w:ascii="Arial" w:hAnsi="Arial" w:cs="Arial"/>
          <w:sz w:val="24"/>
          <w:szCs w:val="24"/>
        </w:rPr>
        <w:t xml:space="preserve"> </w:t>
      </w:r>
      <w:r w:rsidR="0042521C">
        <w:rPr>
          <w:rFonts w:ascii="Arial" w:hAnsi="Arial" w:cs="Arial"/>
          <w:sz w:val="24"/>
          <w:szCs w:val="24"/>
        </w:rPr>
        <w:t>Comuníquese al Poder Ejecutivo.</w:t>
      </w:r>
    </w:p>
    <w:p w14:paraId="50CF5E2C" w14:textId="77777777" w:rsidR="0042521C" w:rsidRDefault="0042521C" w:rsidP="00F75941">
      <w:pPr>
        <w:shd w:val="clear" w:color="auto" w:fill="FFFFFF"/>
        <w:spacing w:after="0" w:line="240" w:lineRule="auto"/>
        <w:jc w:val="both"/>
        <w:textAlignment w:val="bottom"/>
        <w:rPr>
          <w:rFonts w:ascii="Arial" w:hAnsi="Arial" w:cs="Arial"/>
          <w:b/>
          <w:bCs/>
          <w:sz w:val="24"/>
          <w:szCs w:val="24"/>
        </w:rPr>
      </w:pPr>
    </w:p>
    <w:p w14:paraId="1CE2CCC5" w14:textId="77777777" w:rsidR="003C2434" w:rsidRDefault="003C2434" w:rsidP="00F75941">
      <w:pPr>
        <w:shd w:val="clear" w:color="auto" w:fill="FFFFFF"/>
        <w:spacing w:after="0" w:line="240" w:lineRule="auto"/>
        <w:jc w:val="both"/>
        <w:textAlignment w:val="bottom"/>
        <w:rPr>
          <w:rFonts w:ascii="Arial" w:hAnsi="Arial" w:cs="Arial"/>
          <w:b/>
          <w:bCs/>
          <w:sz w:val="24"/>
          <w:szCs w:val="24"/>
        </w:rPr>
      </w:pPr>
    </w:p>
    <w:p w14:paraId="4D997DCC" w14:textId="77777777" w:rsidR="0042521C" w:rsidRDefault="0042521C" w:rsidP="00F75941">
      <w:pPr>
        <w:shd w:val="clear" w:color="auto" w:fill="FFFFFF"/>
        <w:spacing w:after="0" w:line="240" w:lineRule="auto"/>
        <w:jc w:val="both"/>
        <w:textAlignment w:val="bottom"/>
        <w:rPr>
          <w:rFonts w:ascii="Arial" w:hAnsi="Arial" w:cs="Arial"/>
          <w:b/>
          <w:bCs/>
          <w:sz w:val="24"/>
          <w:szCs w:val="24"/>
        </w:rPr>
      </w:pPr>
    </w:p>
    <w:p w14:paraId="68ABD65E" w14:textId="77777777" w:rsidR="0042521C" w:rsidRDefault="0042521C" w:rsidP="00F75941">
      <w:pPr>
        <w:shd w:val="clear" w:color="auto" w:fill="FFFFFF"/>
        <w:spacing w:after="0" w:line="240" w:lineRule="auto"/>
        <w:jc w:val="both"/>
        <w:textAlignment w:val="bottom"/>
        <w:rPr>
          <w:rFonts w:ascii="Arial" w:hAnsi="Arial" w:cs="Arial"/>
          <w:b/>
          <w:bCs/>
          <w:sz w:val="24"/>
          <w:szCs w:val="24"/>
        </w:rPr>
      </w:pPr>
    </w:p>
    <w:p w14:paraId="7555F591" w14:textId="77777777" w:rsidR="0042521C" w:rsidRDefault="0042521C" w:rsidP="00F75941">
      <w:pPr>
        <w:shd w:val="clear" w:color="auto" w:fill="FFFFFF"/>
        <w:spacing w:after="0" w:line="240" w:lineRule="auto"/>
        <w:jc w:val="both"/>
        <w:textAlignment w:val="bottom"/>
        <w:rPr>
          <w:rFonts w:ascii="Arial" w:hAnsi="Arial" w:cs="Arial"/>
          <w:b/>
          <w:bCs/>
          <w:sz w:val="24"/>
          <w:szCs w:val="24"/>
        </w:rPr>
      </w:pPr>
    </w:p>
    <w:p w14:paraId="2A62C170" w14:textId="77777777" w:rsidR="0042521C" w:rsidRDefault="0042521C" w:rsidP="00F75941">
      <w:pPr>
        <w:shd w:val="clear" w:color="auto" w:fill="FFFFFF"/>
        <w:spacing w:after="0" w:line="240" w:lineRule="auto"/>
        <w:jc w:val="both"/>
        <w:textAlignment w:val="bottom"/>
        <w:rPr>
          <w:rFonts w:ascii="Arial" w:hAnsi="Arial" w:cs="Arial"/>
          <w:b/>
          <w:bCs/>
          <w:sz w:val="24"/>
          <w:szCs w:val="24"/>
        </w:rPr>
      </w:pPr>
    </w:p>
    <w:p w14:paraId="0F19F371" w14:textId="77777777" w:rsidR="0042521C" w:rsidRDefault="0042521C" w:rsidP="00F75941">
      <w:pPr>
        <w:shd w:val="clear" w:color="auto" w:fill="FFFFFF"/>
        <w:spacing w:after="0" w:line="240" w:lineRule="auto"/>
        <w:jc w:val="both"/>
        <w:textAlignment w:val="bottom"/>
        <w:rPr>
          <w:rFonts w:ascii="Arial" w:hAnsi="Arial" w:cs="Arial"/>
          <w:b/>
          <w:bCs/>
          <w:sz w:val="24"/>
          <w:szCs w:val="24"/>
        </w:rPr>
      </w:pPr>
    </w:p>
    <w:p w14:paraId="58DF38A9" w14:textId="77777777" w:rsidR="0042521C" w:rsidRDefault="0042521C" w:rsidP="00F75941">
      <w:pPr>
        <w:shd w:val="clear" w:color="auto" w:fill="FFFFFF"/>
        <w:spacing w:after="0" w:line="240" w:lineRule="auto"/>
        <w:jc w:val="both"/>
        <w:textAlignment w:val="bottom"/>
        <w:rPr>
          <w:rFonts w:ascii="Arial" w:hAnsi="Arial" w:cs="Arial"/>
          <w:b/>
          <w:bCs/>
          <w:sz w:val="24"/>
          <w:szCs w:val="24"/>
        </w:rPr>
      </w:pPr>
    </w:p>
    <w:p w14:paraId="3E309FF2" w14:textId="77777777" w:rsidR="0042521C" w:rsidRDefault="0042521C" w:rsidP="00F75941">
      <w:pPr>
        <w:shd w:val="clear" w:color="auto" w:fill="FFFFFF"/>
        <w:spacing w:after="0" w:line="240" w:lineRule="auto"/>
        <w:jc w:val="both"/>
        <w:textAlignment w:val="bottom"/>
        <w:rPr>
          <w:rFonts w:ascii="Arial" w:hAnsi="Arial" w:cs="Arial"/>
          <w:b/>
          <w:bCs/>
          <w:sz w:val="24"/>
          <w:szCs w:val="24"/>
        </w:rPr>
      </w:pPr>
    </w:p>
    <w:p w14:paraId="68A9E7D7" w14:textId="77777777" w:rsidR="0042521C" w:rsidRDefault="0042521C" w:rsidP="00F75941">
      <w:pPr>
        <w:shd w:val="clear" w:color="auto" w:fill="FFFFFF"/>
        <w:spacing w:after="0" w:line="240" w:lineRule="auto"/>
        <w:jc w:val="both"/>
        <w:textAlignment w:val="bottom"/>
        <w:rPr>
          <w:rFonts w:ascii="Arial" w:hAnsi="Arial" w:cs="Arial"/>
          <w:b/>
          <w:bCs/>
          <w:sz w:val="24"/>
          <w:szCs w:val="24"/>
        </w:rPr>
      </w:pPr>
    </w:p>
    <w:p w14:paraId="2C5BF2D1" w14:textId="14DFCC36" w:rsidR="00C42317" w:rsidRDefault="00C42317" w:rsidP="00F75941">
      <w:pPr>
        <w:shd w:val="clear" w:color="auto" w:fill="FFFFFF"/>
        <w:spacing w:after="0" w:line="240" w:lineRule="auto"/>
        <w:jc w:val="both"/>
        <w:textAlignment w:val="bottom"/>
        <w:rPr>
          <w:rFonts w:ascii="Arial" w:hAnsi="Arial" w:cs="Arial"/>
          <w:b/>
          <w:bCs/>
          <w:sz w:val="24"/>
          <w:szCs w:val="24"/>
        </w:rPr>
      </w:pPr>
      <w:r w:rsidRPr="00C42317">
        <w:rPr>
          <w:rFonts w:ascii="Arial" w:hAnsi="Arial" w:cs="Arial"/>
          <w:b/>
          <w:bCs/>
          <w:sz w:val="24"/>
          <w:szCs w:val="24"/>
        </w:rPr>
        <w:lastRenderedPageBreak/>
        <w:t>FUNDAMENTOS</w:t>
      </w:r>
    </w:p>
    <w:p w14:paraId="1A8B2DDA" w14:textId="686AD5B7" w:rsidR="00C42317" w:rsidRDefault="00C42317" w:rsidP="00F75941">
      <w:pPr>
        <w:shd w:val="clear" w:color="auto" w:fill="FFFFFF"/>
        <w:spacing w:after="0" w:line="240" w:lineRule="auto"/>
        <w:jc w:val="both"/>
        <w:textAlignment w:val="bottom"/>
        <w:rPr>
          <w:rFonts w:ascii="Arial" w:hAnsi="Arial" w:cs="Arial"/>
          <w:b/>
          <w:bCs/>
          <w:sz w:val="24"/>
          <w:szCs w:val="24"/>
        </w:rPr>
      </w:pPr>
    </w:p>
    <w:p w14:paraId="6595BF4B" w14:textId="6DB3FED7" w:rsidR="00C42317" w:rsidRDefault="00C42317" w:rsidP="00F75941">
      <w:pPr>
        <w:shd w:val="clear" w:color="auto" w:fill="FFFFFF"/>
        <w:spacing w:after="0" w:line="240" w:lineRule="auto"/>
        <w:jc w:val="both"/>
        <w:textAlignment w:val="bottom"/>
        <w:rPr>
          <w:rFonts w:ascii="Arial" w:hAnsi="Arial" w:cs="Arial"/>
          <w:sz w:val="24"/>
          <w:szCs w:val="24"/>
        </w:rPr>
      </w:pPr>
      <w:r>
        <w:rPr>
          <w:rFonts w:ascii="Arial" w:hAnsi="Arial" w:cs="Arial"/>
          <w:sz w:val="24"/>
          <w:szCs w:val="24"/>
        </w:rPr>
        <w:t>Señora Presidenta:</w:t>
      </w:r>
    </w:p>
    <w:p w14:paraId="2D446043" w14:textId="3C519D9E" w:rsidR="00C42317" w:rsidRDefault="00C42317" w:rsidP="00F75941">
      <w:pPr>
        <w:shd w:val="clear" w:color="auto" w:fill="FFFFFF"/>
        <w:spacing w:after="0" w:line="240" w:lineRule="auto"/>
        <w:jc w:val="both"/>
        <w:textAlignment w:val="bottom"/>
        <w:rPr>
          <w:rFonts w:ascii="Arial" w:hAnsi="Arial" w:cs="Arial"/>
          <w:sz w:val="24"/>
          <w:szCs w:val="24"/>
        </w:rPr>
      </w:pPr>
    </w:p>
    <w:p w14:paraId="22187BB6" w14:textId="43D6544B" w:rsidR="00C42317" w:rsidRDefault="00C42317" w:rsidP="00F75941">
      <w:pPr>
        <w:shd w:val="clear" w:color="auto" w:fill="FFFFFF"/>
        <w:spacing w:after="0" w:line="240" w:lineRule="auto"/>
        <w:jc w:val="both"/>
        <w:textAlignment w:val="bottom"/>
        <w:rPr>
          <w:rFonts w:ascii="Arial" w:hAnsi="Arial" w:cs="Arial"/>
          <w:sz w:val="24"/>
          <w:szCs w:val="24"/>
        </w:rPr>
      </w:pPr>
      <w:r>
        <w:rPr>
          <w:rFonts w:ascii="Arial" w:hAnsi="Arial" w:cs="Arial"/>
          <w:sz w:val="24"/>
          <w:szCs w:val="24"/>
        </w:rPr>
        <w:t>Elevamos a Ud</w:t>
      </w:r>
      <w:r w:rsidR="003C2434">
        <w:rPr>
          <w:rFonts w:ascii="Arial" w:hAnsi="Arial" w:cs="Arial"/>
          <w:sz w:val="24"/>
          <w:szCs w:val="24"/>
        </w:rPr>
        <w:t>.</w:t>
      </w:r>
      <w:r>
        <w:rPr>
          <w:rFonts w:ascii="Arial" w:hAnsi="Arial" w:cs="Arial"/>
          <w:sz w:val="24"/>
          <w:szCs w:val="24"/>
        </w:rPr>
        <w:t xml:space="preserve"> un proyecto de Ley que establece limitaciones al accionar especulativo de ciertos acreedores de la deuda soberana del Estado </w:t>
      </w:r>
      <w:r w:rsidR="00634AA4">
        <w:rPr>
          <w:rFonts w:ascii="Arial" w:hAnsi="Arial" w:cs="Arial"/>
          <w:sz w:val="24"/>
          <w:szCs w:val="24"/>
        </w:rPr>
        <w:t>-</w:t>
      </w:r>
      <w:r>
        <w:rPr>
          <w:rFonts w:ascii="Arial" w:hAnsi="Arial" w:cs="Arial"/>
          <w:sz w:val="24"/>
          <w:szCs w:val="24"/>
        </w:rPr>
        <w:t xml:space="preserve">Nacional, Provincial y/ o Municipal- que adquieren instrumentos de deuda a muy bajo precio, </w:t>
      </w:r>
      <w:r w:rsidR="007B2377">
        <w:rPr>
          <w:rFonts w:ascii="Arial" w:hAnsi="Arial" w:cs="Arial"/>
          <w:sz w:val="24"/>
          <w:szCs w:val="24"/>
        </w:rPr>
        <w:t>haciéndolo</w:t>
      </w:r>
      <w:r>
        <w:rPr>
          <w:rFonts w:ascii="Arial" w:hAnsi="Arial" w:cs="Arial"/>
          <w:sz w:val="24"/>
          <w:szCs w:val="24"/>
        </w:rPr>
        <w:t xml:space="preserve"> en general, en situaciones en las que </w:t>
      </w:r>
      <w:r w:rsidR="00CD0F28">
        <w:rPr>
          <w:rFonts w:ascii="Arial" w:hAnsi="Arial" w:cs="Arial"/>
          <w:sz w:val="24"/>
          <w:szCs w:val="24"/>
        </w:rPr>
        <w:t>suponen</w:t>
      </w:r>
      <w:r>
        <w:rPr>
          <w:rFonts w:ascii="Arial" w:hAnsi="Arial" w:cs="Arial"/>
          <w:sz w:val="24"/>
          <w:szCs w:val="24"/>
        </w:rPr>
        <w:t xml:space="preserve"> que el país puede </w:t>
      </w:r>
      <w:r w:rsidR="007B2377">
        <w:rPr>
          <w:rFonts w:ascii="Arial" w:hAnsi="Arial" w:cs="Arial"/>
          <w:sz w:val="24"/>
          <w:szCs w:val="24"/>
        </w:rPr>
        <w:t>presentar dificultades para atender a sus compromisos financieros, para posteriormente litigar judicialmente contra el país en tribunales extranjeros. De esta manera obtienen grandes beneficios y pueden así cobrar sin ingresar en las ofertas que el Estado realiza a sus acreedores.</w:t>
      </w:r>
      <w:r w:rsidR="004A5672">
        <w:rPr>
          <w:rFonts w:ascii="Arial" w:hAnsi="Arial" w:cs="Arial"/>
          <w:sz w:val="24"/>
          <w:szCs w:val="24"/>
        </w:rPr>
        <w:t xml:space="preserve"> Son los llamados “fondos buitres”.</w:t>
      </w:r>
    </w:p>
    <w:p w14:paraId="2B2F9204" w14:textId="77777777" w:rsidR="0083136E" w:rsidRDefault="0083136E" w:rsidP="00F75941">
      <w:pPr>
        <w:shd w:val="clear" w:color="auto" w:fill="FFFFFF"/>
        <w:spacing w:after="0" w:line="240" w:lineRule="auto"/>
        <w:jc w:val="both"/>
        <w:textAlignment w:val="bottom"/>
        <w:rPr>
          <w:rFonts w:ascii="Arial" w:hAnsi="Arial" w:cs="Arial"/>
          <w:sz w:val="24"/>
          <w:szCs w:val="24"/>
        </w:rPr>
      </w:pPr>
    </w:p>
    <w:p w14:paraId="1F4C950F" w14:textId="3B21EA7E" w:rsidR="0083136E" w:rsidRDefault="0083136E" w:rsidP="0083136E">
      <w:pPr>
        <w:pStyle w:val="Textonotapie"/>
        <w:jc w:val="both"/>
        <w:rPr>
          <w:rFonts w:ascii="Arial" w:hAnsi="Arial" w:cs="Arial"/>
          <w:sz w:val="24"/>
          <w:szCs w:val="24"/>
        </w:rPr>
      </w:pPr>
      <w:r w:rsidRPr="0083136E">
        <w:rPr>
          <w:rFonts w:ascii="Arial" w:hAnsi="Arial" w:cs="Arial"/>
          <w:sz w:val="24"/>
          <w:szCs w:val="24"/>
        </w:rPr>
        <w:t>Se los conoce bajo este nombre debido al tipo de operatoria que realizan en todo el mundo. Los fondos buitres son demandantes con sede</w:t>
      </w:r>
      <w:r w:rsidR="001900BA" w:rsidRPr="00634AA4">
        <w:rPr>
          <w:rFonts w:ascii="Arial" w:hAnsi="Arial" w:cs="Arial"/>
          <w:sz w:val="24"/>
          <w:szCs w:val="24"/>
        </w:rPr>
        <w:t>, mayoritariamente</w:t>
      </w:r>
      <w:r w:rsidR="001900BA" w:rsidRPr="001900BA">
        <w:rPr>
          <w:rFonts w:ascii="Arial" w:hAnsi="Arial" w:cs="Arial"/>
          <w:color w:val="FF0000"/>
          <w:sz w:val="24"/>
          <w:szCs w:val="24"/>
        </w:rPr>
        <w:t>,</w:t>
      </w:r>
      <w:r w:rsidRPr="0083136E">
        <w:rPr>
          <w:rFonts w:ascii="Arial" w:hAnsi="Arial" w:cs="Arial"/>
          <w:sz w:val="24"/>
          <w:szCs w:val="24"/>
        </w:rPr>
        <w:t xml:space="preserve"> en guaridas fiscales</w:t>
      </w:r>
      <w:r>
        <w:rPr>
          <w:rFonts w:ascii="Arial" w:hAnsi="Arial" w:cs="Arial"/>
          <w:sz w:val="24"/>
          <w:szCs w:val="24"/>
        </w:rPr>
        <w:t xml:space="preserve">, </w:t>
      </w:r>
      <w:r w:rsidRPr="0083136E">
        <w:rPr>
          <w:rFonts w:ascii="Arial" w:hAnsi="Arial" w:cs="Arial"/>
          <w:sz w:val="24"/>
          <w:szCs w:val="24"/>
        </w:rPr>
        <w:t xml:space="preserve">que se dedican a la especulación financiera, y su modelo de negocios consiste en comprar a precio vil la deuda de países en crisis para luego obtener ganancias exorbitantes, explotando las fallas del sistema financiero global. </w:t>
      </w:r>
    </w:p>
    <w:p w14:paraId="3A289C8C" w14:textId="77777777" w:rsidR="0083136E" w:rsidRPr="0083136E" w:rsidRDefault="0083136E" w:rsidP="0083136E">
      <w:pPr>
        <w:pStyle w:val="Textonotapie"/>
        <w:jc w:val="both"/>
        <w:rPr>
          <w:rFonts w:ascii="Arial" w:hAnsi="Arial" w:cs="Arial"/>
          <w:sz w:val="24"/>
          <w:szCs w:val="24"/>
        </w:rPr>
      </w:pPr>
    </w:p>
    <w:p w14:paraId="57FF2B9A" w14:textId="2528487D" w:rsidR="0083136E" w:rsidRPr="00634AA4" w:rsidRDefault="0083136E" w:rsidP="0083136E">
      <w:pPr>
        <w:pStyle w:val="Textonotapie"/>
        <w:jc w:val="both"/>
        <w:rPr>
          <w:rFonts w:ascii="Arial" w:hAnsi="Arial" w:cs="Arial"/>
          <w:sz w:val="24"/>
          <w:szCs w:val="24"/>
        </w:rPr>
      </w:pPr>
      <w:r w:rsidRPr="0083136E">
        <w:rPr>
          <w:rFonts w:ascii="Arial" w:hAnsi="Arial" w:cs="Arial"/>
          <w:sz w:val="24"/>
          <w:szCs w:val="24"/>
        </w:rPr>
        <w:t>Para esto utilizan todos los canales legales a su alcance con el doble objetivo de</w:t>
      </w:r>
      <w:r>
        <w:rPr>
          <w:rFonts w:ascii="Arial" w:hAnsi="Arial" w:cs="Arial"/>
          <w:sz w:val="24"/>
          <w:szCs w:val="24"/>
        </w:rPr>
        <w:t xml:space="preserve">, por un lado, </w:t>
      </w:r>
      <w:r w:rsidRPr="0083136E">
        <w:rPr>
          <w:rFonts w:ascii="Arial" w:hAnsi="Arial" w:cs="Arial"/>
          <w:sz w:val="24"/>
          <w:szCs w:val="24"/>
        </w:rPr>
        <w:t xml:space="preserve">obligar a los países a que les paguen </w:t>
      </w:r>
      <w:r w:rsidR="00360DE0">
        <w:rPr>
          <w:rFonts w:ascii="Arial" w:hAnsi="Arial" w:cs="Arial"/>
          <w:sz w:val="24"/>
          <w:szCs w:val="24"/>
        </w:rPr>
        <w:t>sumas desproporcionadas en relación a su inversión</w:t>
      </w:r>
      <w:r w:rsidRPr="0083136E">
        <w:rPr>
          <w:rFonts w:ascii="Arial" w:hAnsi="Arial" w:cs="Arial"/>
          <w:sz w:val="24"/>
          <w:szCs w:val="24"/>
        </w:rPr>
        <w:t>, y</w:t>
      </w:r>
      <w:r>
        <w:rPr>
          <w:rFonts w:ascii="Arial" w:hAnsi="Arial" w:cs="Arial"/>
          <w:sz w:val="24"/>
          <w:szCs w:val="24"/>
        </w:rPr>
        <w:t xml:space="preserve">, por el otro, </w:t>
      </w:r>
      <w:r w:rsidRPr="0083136E">
        <w:rPr>
          <w:rFonts w:ascii="Arial" w:hAnsi="Arial" w:cs="Arial"/>
          <w:sz w:val="24"/>
          <w:szCs w:val="24"/>
        </w:rPr>
        <w:t>obstaculizar el pago de las deudas reestructuradas y</w:t>
      </w:r>
      <w:r w:rsidR="001900BA">
        <w:rPr>
          <w:rFonts w:ascii="Arial" w:hAnsi="Arial" w:cs="Arial"/>
          <w:sz w:val="24"/>
          <w:szCs w:val="24"/>
        </w:rPr>
        <w:t xml:space="preserve"> </w:t>
      </w:r>
      <w:r w:rsidR="001900BA" w:rsidRPr="00634AA4">
        <w:rPr>
          <w:rFonts w:ascii="Arial" w:hAnsi="Arial" w:cs="Arial"/>
          <w:sz w:val="24"/>
          <w:szCs w:val="24"/>
        </w:rPr>
        <w:t>la vuelta</w:t>
      </w:r>
      <w:r w:rsidRPr="00634AA4">
        <w:rPr>
          <w:rFonts w:ascii="Arial" w:hAnsi="Arial" w:cs="Arial"/>
          <w:sz w:val="24"/>
          <w:szCs w:val="24"/>
        </w:rPr>
        <w:t xml:space="preserve"> </w:t>
      </w:r>
      <w:r w:rsidR="00634AA4" w:rsidRPr="00634AA4">
        <w:rPr>
          <w:rFonts w:ascii="Arial" w:hAnsi="Arial" w:cs="Arial"/>
          <w:sz w:val="24"/>
          <w:szCs w:val="24"/>
        </w:rPr>
        <w:t xml:space="preserve">al </w:t>
      </w:r>
      <w:r w:rsidRPr="00634AA4">
        <w:rPr>
          <w:rFonts w:ascii="Arial" w:hAnsi="Arial" w:cs="Arial"/>
          <w:sz w:val="24"/>
          <w:szCs w:val="24"/>
        </w:rPr>
        <w:t>financiamiento internacional</w:t>
      </w:r>
      <w:r w:rsidR="001900BA" w:rsidRPr="00634AA4">
        <w:rPr>
          <w:rFonts w:ascii="Arial" w:hAnsi="Arial" w:cs="Arial"/>
          <w:sz w:val="24"/>
          <w:szCs w:val="24"/>
        </w:rPr>
        <w:t>, de los países que han caído en cesación de pagos.</w:t>
      </w:r>
    </w:p>
    <w:p w14:paraId="7844BAD2" w14:textId="7FBFF5E2" w:rsidR="00D62407" w:rsidRPr="001900BA" w:rsidRDefault="00D62407" w:rsidP="0083136E">
      <w:pPr>
        <w:pStyle w:val="Textonotapie"/>
        <w:jc w:val="both"/>
        <w:rPr>
          <w:rFonts w:ascii="Arial" w:hAnsi="Arial" w:cs="Arial"/>
          <w:color w:val="FF0000"/>
          <w:sz w:val="24"/>
          <w:szCs w:val="24"/>
        </w:rPr>
      </w:pPr>
    </w:p>
    <w:p w14:paraId="302E856B" w14:textId="1C14990E" w:rsidR="002E58DD" w:rsidRDefault="00D62407" w:rsidP="0083136E">
      <w:pPr>
        <w:pStyle w:val="Textonotapie"/>
        <w:jc w:val="both"/>
        <w:rPr>
          <w:rFonts w:ascii="Arial" w:hAnsi="Arial" w:cs="Arial"/>
          <w:sz w:val="24"/>
          <w:szCs w:val="24"/>
        </w:rPr>
      </w:pPr>
      <w:r w:rsidRPr="001D0229">
        <w:rPr>
          <w:rFonts w:ascii="Arial" w:hAnsi="Arial" w:cs="Arial"/>
          <w:sz w:val="24"/>
          <w:szCs w:val="24"/>
        </w:rPr>
        <w:t>Hemos analizado detalladamente</w:t>
      </w:r>
      <w:r w:rsidR="002E58DD">
        <w:rPr>
          <w:rFonts w:ascii="Arial" w:hAnsi="Arial" w:cs="Arial"/>
          <w:sz w:val="24"/>
          <w:szCs w:val="24"/>
        </w:rPr>
        <w:t xml:space="preserve"> varios antecedentes internacionales. Se trata de distintas normativas que los países han ido adoptando para cubrirse del accionar de estos fondos especulativos, ya que en el mundo se verifica una preocupación creciente en torno a esta temática.</w:t>
      </w:r>
    </w:p>
    <w:p w14:paraId="2614BCDA" w14:textId="77777777" w:rsidR="002E58DD" w:rsidRDefault="002E58DD" w:rsidP="0083136E">
      <w:pPr>
        <w:pStyle w:val="Textonotapie"/>
        <w:jc w:val="both"/>
        <w:rPr>
          <w:rFonts w:ascii="Arial" w:hAnsi="Arial" w:cs="Arial"/>
          <w:sz w:val="24"/>
          <w:szCs w:val="24"/>
        </w:rPr>
      </w:pPr>
    </w:p>
    <w:p w14:paraId="50034920" w14:textId="74DEF0FA" w:rsidR="001D0229" w:rsidRPr="001D0229" w:rsidRDefault="002E58DD" w:rsidP="0083136E">
      <w:pPr>
        <w:pStyle w:val="Textonotapie"/>
        <w:jc w:val="both"/>
        <w:rPr>
          <w:rFonts w:ascii="Arial" w:hAnsi="Arial" w:cs="Arial"/>
          <w:sz w:val="24"/>
          <w:szCs w:val="24"/>
        </w:rPr>
      </w:pPr>
      <w:r>
        <w:rPr>
          <w:rFonts w:ascii="Arial" w:hAnsi="Arial" w:cs="Arial"/>
          <w:sz w:val="24"/>
          <w:szCs w:val="24"/>
        </w:rPr>
        <w:t xml:space="preserve">En </w:t>
      </w:r>
      <w:r w:rsidR="00D62407" w:rsidRPr="000A2B2B">
        <w:rPr>
          <w:rFonts w:ascii="Arial" w:hAnsi="Arial" w:cs="Arial"/>
          <w:b/>
          <w:bCs/>
          <w:sz w:val="24"/>
          <w:szCs w:val="24"/>
        </w:rPr>
        <w:t>Bélgica</w:t>
      </w:r>
      <w:r w:rsidR="001D0229" w:rsidRPr="001D0229">
        <w:rPr>
          <w:rFonts w:ascii="Arial" w:hAnsi="Arial" w:cs="Arial"/>
          <w:sz w:val="24"/>
          <w:szCs w:val="24"/>
        </w:rPr>
        <w:t>,</w:t>
      </w:r>
      <w:r w:rsidR="00D62407" w:rsidRPr="001D0229">
        <w:rPr>
          <w:rFonts w:ascii="Arial" w:hAnsi="Arial" w:cs="Arial"/>
          <w:sz w:val="24"/>
          <w:szCs w:val="24"/>
        </w:rPr>
        <w:t xml:space="preserve"> </w:t>
      </w:r>
      <w:r w:rsidR="001D0229" w:rsidRPr="001D0229">
        <w:rPr>
          <w:rFonts w:ascii="Arial" w:hAnsi="Arial" w:cs="Arial"/>
          <w:sz w:val="24"/>
          <w:szCs w:val="24"/>
        </w:rPr>
        <w:t xml:space="preserve">el 12 de julio de 2015, </w:t>
      </w:r>
      <w:r>
        <w:rPr>
          <w:rFonts w:ascii="Arial" w:hAnsi="Arial" w:cs="Arial"/>
          <w:sz w:val="24"/>
          <w:szCs w:val="24"/>
        </w:rPr>
        <w:t xml:space="preserve">se </w:t>
      </w:r>
      <w:r w:rsidR="001D0229" w:rsidRPr="001D0229">
        <w:rPr>
          <w:rFonts w:ascii="Arial" w:hAnsi="Arial" w:cs="Arial"/>
          <w:sz w:val="24"/>
          <w:szCs w:val="24"/>
        </w:rPr>
        <w:t xml:space="preserve">aprobó la Ley Nro. 2015003318 contra los fondos buitre, que entró en vigor el 12 de septiembre de </w:t>
      </w:r>
      <w:r>
        <w:rPr>
          <w:rFonts w:ascii="Arial" w:hAnsi="Arial" w:cs="Arial"/>
          <w:sz w:val="24"/>
          <w:szCs w:val="24"/>
        </w:rPr>
        <w:t>ese mismo año</w:t>
      </w:r>
      <w:r w:rsidR="001D0229" w:rsidRPr="001D0229">
        <w:rPr>
          <w:rFonts w:ascii="Arial" w:hAnsi="Arial" w:cs="Arial"/>
          <w:sz w:val="24"/>
          <w:szCs w:val="24"/>
        </w:rPr>
        <w:t xml:space="preserve">. La Ley fue aprobada casi por unanimidad por el Parlamento belga, a pesar de la opinión contraria del Banco Nacional, los esfuerzos de cabildeo </w:t>
      </w:r>
      <w:r w:rsidR="001D0229">
        <w:rPr>
          <w:rFonts w:ascii="Arial" w:hAnsi="Arial" w:cs="Arial"/>
          <w:sz w:val="24"/>
          <w:szCs w:val="24"/>
        </w:rPr>
        <w:t xml:space="preserve">y lobby </w:t>
      </w:r>
      <w:r w:rsidR="001D0229" w:rsidRPr="001D0229">
        <w:rPr>
          <w:rFonts w:ascii="Arial" w:hAnsi="Arial" w:cs="Arial"/>
          <w:sz w:val="24"/>
          <w:szCs w:val="24"/>
        </w:rPr>
        <w:t>de l</w:t>
      </w:r>
      <w:r>
        <w:rPr>
          <w:rFonts w:ascii="Arial" w:hAnsi="Arial" w:cs="Arial"/>
          <w:sz w:val="24"/>
          <w:szCs w:val="24"/>
        </w:rPr>
        <w:t xml:space="preserve">os sectores </w:t>
      </w:r>
      <w:r w:rsidR="001D0229" w:rsidRPr="001D0229">
        <w:rPr>
          <w:rFonts w:ascii="Arial" w:hAnsi="Arial" w:cs="Arial"/>
          <w:sz w:val="24"/>
          <w:szCs w:val="24"/>
        </w:rPr>
        <w:t>financier</w:t>
      </w:r>
      <w:r>
        <w:rPr>
          <w:rFonts w:ascii="Arial" w:hAnsi="Arial" w:cs="Arial"/>
          <w:sz w:val="24"/>
          <w:szCs w:val="24"/>
        </w:rPr>
        <w:t>os</w:t>
      </w:r>
      <w:r w:rsidR="001D0229" w:rsidRPr="001D0229">
        <w:rPr>
          <w:rFonts w:ascii="Arial" w:hAnsi="Arial" w:cs="Arial"/>
          <w:sz w:val="24"/>
          <w:szCs w:val="24"/>
        </w:rPr>
        <w:t xml:space="preserve"> y una mayoría parlamentaria y un gobierno</w:t>
      </w:r>
      <w:r>
        <w:rPr>
          <w:rFonts w:ascii="Arial" w:hAnsi="Arial" w:cs="Arial"/>
          <w:sz w:val="24"/>
          <w:szCs w:val="24"/>
        </w:rPr>
        <w:t>,</w:t>
      </w:r>
      <w:r w:rsidR="001D0229" w:rsidRPr="001D0229">
        <w:rPr>
          <w:rFonts w:ascii="Arial" w:hAnsi="Arial" w:cs="Arial"/>
          <w:sz w:val="24"/>
          <w:szCs w:val="24"/>
        </w:rPr>
        <w:t xml:space="preserve"> ambos enrolados en el centrismo liberal. </w:t>
      </w:r>
    </w:p>
    <w:p w14:paraId="488CC5BA" w14:textId="77777777" w:rsidR="001D0229" w:rsidRDefault="001D0229" w:rsidP="0083136E">
      <w:pPr>
        <w:pStyle w:val="Textonotapie"/>
        <w:jc w:val="both"/>
      </w:pPr>
    </w:p>
    <w:p w14:paraId="69651186" w14:textId="06C4CB2E" w:rsidR="007B2377" w:rsidRDefault="00D62407" w:rsidP="00F75941">
      <w:pPr>
        <w:shd w:val="clear" w:color="auto" w:fill="FFFFFF"/>
        <w:spacing w:after="0" w:line="240" w:lineRule="auto"/>
        <w:jc w:val="both"/>
        <w:textAlignment w:val="bottom"/>
        <w:rPr>
          <w:rFonts w:ascii="Arial" w:hAnsi="Arial" w:cs="Arial"/>
          <w:sz w:val="24"/>
          <w:szCs w:val="24"/>
        </w:rPr>
      </w:pPr>
      <w:r w:rsidRPr="00E56976">
        <w:rPr>
          <w:rFonts w:ascii="Arial" w:hAnsi="Arial" w:cs="Arial"/>
          <w:sz w:val="24"/>
          <w:szCs w:val="24"/>
        </w:rPr>
        <w:t>Bélgica ha sido precursora en relación con el dictado de leyes para limitar el accionar de los fondos buitre ante la ausencia de una regulación internacional a dicho fenómeno. La actual legislación belga dirigida a regular la actividad de los mencionados fondos registra antecedentes en la Ley Nro. 2008000676 del 6 de abril de 2008</w:t>
      </w:r>
      <w:r w:rsidR="00E56976" w:rsidRPr="00E56976">
        <w:rPr>
          <w:rFonts w:ascii="Arial" w:hAnsi="Arial" w:cs="Arial"/>
          <w:sz w:val="24"/>
          <w:szCs w:val="24"/>
        </w:rPr>
        <w:t>.</w:t>
      </w:r>
    </w:p>
    <w:p w14:paraId="46B36054" w14:textId="22E8B43A" w:rsidR="00E56976" w:rsidRDefault="00E56976" w:rsidP="00F75941">
      <w:pPr>
        <w:shd w:val="clear" w:color="auto" w:fill="FFFFFF"/>
        <w:spacing w:after="0" w:line="240" w:lineRule="auto"/>
        <w:jc w:val="both"/>
        <w:textAlignment w:val="bottom"/>
        <w:rPr>
          <w:rFonts w:ascii="Arial" w:hAnsi="Arial" w:cs="Arial"/>
          <w:sz w:val="24"/>
          <w:szCs w:val="24"/>
        </w:rPr>
      </w:pPr>
    </w:p>
    <w:p w14:paraId="67F96423" w14:textId="315B4E9B" w:rsidR="00B872FD" w:rsidRPr="00B872FD" w:rsidRDefault="00B872FD" w:rsidP="00F75941">
      <w:pPr>
        <w:shd w:val="clear" w:color="auto" w:fill="FFFFFF"/>
        <w:spacing w:after="0" w:line="240" w:lineRule="auto"/>
        <w:jc w:val="both"/>
        <w:textAlignment w:val="bottom"/>
        <w:rPr>
          <w:rFonts w:ascii="Arial" w:hAnsi="Arial" w:cs="Arial"/>
          <w:sz w:val="24"/>
          <w:szCs w:val="24"/>
        </w:rPr>
      </w:pPr>
      <w:r w:rsidRPr="00B872FD">
        <w:rPr>
          <w:rFonts w:ascii="Arial" w:hAnsi="Arial" w:cs="Arial"/>
          <w:sz w:val="24"/>
          <w:szCs w:val="24"/>
        </w:rPr>
        <w:t xml:space="preserve">La Ley </w:t>
      </w:r>
      <w:r w:rsidR="001900BA">
        <w:rPr>
          <w:rFonts w:ascii="Arial" w:hAnsi="Arial" w:cs="Arial"/>
          <w:sz w:val="24"/>
          <w:szCs w:val="24"/>
        </w:rPr>
        <w:t xml:space="preserve">del 2015 </w:t>
      </w:r>
      <w:r w:rsidRPr="00B872FD">
        <w:rPr>
          <w:rFonts w:ascii="Arial" w:hAnsi="Arial" w:cs="Arial"/>
          <w:sz w:val="24"/>
          <w:szCs w:val="24"/>
        </w:rPr>
        <w:t>fue objeto de un recurso de nulidad interpuesto con fecha 1 de marzo de 2016 por el fondo buitre NML Capital Ltd. con sede en las Islas Caimán. El fondo, propiedad de Paul Singer, es el mismo que compró bonos argentinos en default</w:t>
      </w:r>
      <w:r w:rsidR="001900BA">
        <w:rPr>
          <w:rFonts w:ascii="Arial" w:hAnsi="Arial" w:cs="Arial"/>
          <w:sz w:val="24"/>
          <w:szCs w:val="24"/>
        </w:rPr>
        <w:t xml:space="preserve"> y realiz</w:t>
      </w:r>
      <w:r w:rsidR="003C2434">
        <w:rPr>
          <w:rFonts w:ascii="Arial" w:hAnsi="Arial" w:cs="Arial"/>
          <w:sz w:val="24"/>
          <w:szCs w:val="24"/>
        </w:rPr>
        <w:t xml:space="preserve">ó demandas contra nuestro país </w:t>
      </w:r>
      <w:r w:rsidR="001900BA">
        <w:rPr>
          <w:rFonts w:ascii="Arial" w:hAnsi="Arial" w:cs="Arial"/>
          <w:sz w:val="24"/>
          <w:szCs w:val="24"/>
        </w:rPr>
        <w:t xml:space="preserve">ante el Tribunal de Nueva York del Juez </w:t>
      </w:r>
      <w:proofErr w:type="spellStart"/>
      <w:r w:rsidR="001900BA">
        <w:rPr>
          <w:rFonts w:ascii="Arial" w:hAnsi="Arial" w:cs="Arial"/>
          <w:sz w:val="24"/>
          <w:szCs w:val="24"/>
        </w:rPr>
        <w:t>Griesa</w:t>
      </w:r>
      <w:proofErr w:type="spellEnd"/>
      <w:r w:rsidR="001900BA">
        <w:rPr>
          <w:rFonts w:ascii="Arial" w:hAnsi="Arial" w:cs="Arial"/>
          <w:sz w:val="24"/>
          <w:szCs w:val="24"/>
        </w:rPr>
        <w:t>.</w:t>
      </w:r>
    </w:p>
    <w:p w14:paraId="02D093C0" w14:textId="77777777" w:rsidR="00B872FD" w:rsidRDefault="00B872FD" w:rsidP="00F75941">
      <w:pPr>
        <w:shd w:val="clear" w:color="auto" w:fill="FFFFFF"/>
        <w:spacing w:after="0" w:line="240" w:lineRule="auto"/>
        <w:jc w:val="both"/>
        <w:textAlignment w:val="bottom"/>
      </w:pPr>
    </w:p>
    <w:p w14:paraId="5456DCC7" w14:textId="3357521F" w:rsidR="00B872FD" w:rsidRPr="00B872FD" w:rsidRDefault="00B872FD" w:rsidP="00F75941">
      <w:pPr>
        <w:shd w:val="clear" w:color="auto" w:fill="FFFFFF"/>
        <w:spacing w:after="0" w:line="240" w:lineRule="auto"/>
        <w:jc w:val="both"/>
        <w:textAlignment w:val="bottom"/>
        <w:rPr>
          <w:rFonts w:ascii="Arial" w:hAnsi="Arial" w:cs="Arial"/>
          <w:sz w:val="24"/>
          <w:szCs w:val="24"/>
        </w:rPr>
      </w:pPr>
      <w:r w:rsidRPr="00B872FD">
        <w:rPr>
          <w:rFonts w:ascii="Arial" w:hAnsi="Arial" w:cs="Arial"/>
          <w:sz w:val="24"/>
          <w:szCs w:val="24"/>
        </w:rPr>
        <w:t>La demanda alegaba que la ley belga era inconstitucional. En un fallo histórico, a través de la sentencia 61/2018 del 31 de mayo de 2018, el Tribunal Constitucional de Bélgica confirmó la vigencia de la norma y desestimó la impugnación legal presentada por el fondo especulativo. El dictamen dejó en claro que la ley de fondos buitre belga está totalmente en consonancia con la Constitución belga. Como tal, se considera que no es discriminatoria, no vulnera de manera desproporcionada el derecho de los acreedores, acata los compromisos internacionales y ante la UE por parte de Bélgica y no viola ningún derecho constitucional.</w:t>
      </w:r>
    </w:p>
    <w:p w14:paraId="37F631B9" w14:textId="01FACD20" w:rsidR="00B872FD" w:rsidRDefault="00B872FD" w:rsidP="00F75941">
      <w:pPr>
        <w:shd w:val="clear" w:color="auto" w:fill="FFFFFF"/>
        <w:spacing w:after="0" w:line="240" w:lineRule="auto"/>
        <w:jc w:val="both"/>
        <w:textAlignment w:val="bottom"/>
        <w:rPr>
          <w:rFonts w:ascii="Arial" w:hAnsi="Arial" w:cs="Arial"/>
          <w:sz w:val="24"/>
          <w:szCs w:val="24"/>
        </w:rPr>
      </w:pPr>
    </w:p>
    <w:p w14:paraId="2FECE8FE" w14:textId="61C98E5D" w:rsidR="004F1A09" w:rsidRDefault="004F1A09" w:rsidP="004F1A09">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También hay antecedentes de limitación al accionar de los fondos buitres en </w:t>
      </w:r>
      <w:r w:rsidRPr="000A2B2B">
        <w:rPr>
          <w:rFonts w:ascii="Arial" w:eastAsia="Arial Unicode MS" w:hAnsi="Arial" w:cs="Arial"/>
          <w:b/>
          <w:bCs/>
          <w:color w:val="000000"/>
          <w:sz w:val="24"/>
          <w:szCs w:val="24"/>
          <w:bdr w:val="nil"/>
          <w:lang w:val="es-ES_tradnl" w:eastAsia="es-AR"/>
          <w14:textOutline w14:w="0" w14:cap="flat" w14:cmpd="sng" w14:algn="ctr">
            <w14:noFill/>
            <w14:prstDash w14:val="solid"/>
            <w14:bevel/>
          </w14:textOutline>
        </w:rPr>
        <w:t>Francia.</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El 8 de novie</w:t>
      </w:r>
      <w:r w:rsidR="003C2434">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mbre de 2016, el Parlamento </w:t>
      </w:r>
      <w:proofErr w:type="spellStart"/>
      <w:r w:rsidR="003C2434">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fran</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w:t>
      </w:r>
      <w:proofErr w:type="spellEnd"/>
      <w:r w:rsidRPr="004F1A09">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r w:rsidRPr="004F1A09">
        <w:rPr>
          <w:rFonts w:ascii="Arial" w:eastAsia="Arial Unicode MS" w:hAnsi="Arial" w:cs="Arial"/>
          <w:color w:val="000000"/>
          <w:sz w:val="24"/>
          <w:szCs w:val="24"/>
          <w:bdr w:val="nil"/>
          <w:lang w:val="pt-PT" w:eastAsia="es-AR"/>
          <w14:textOutline w14:w="0" w14:cap="flat" w14:cmpd="sng" w14:algn="ctr">
            <w14:noFill/>
            <w14:prstDash w14:val="solid"/>
            <w14:bevel/>
          </w14:textOutline>
        </w:rPr>
        <w:t>s aprob</w:t>
      </w:r>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ó </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una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legislaci</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destinada a mejorar la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protecci</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legal ofrecida a la propiedad de </w:t>
      </w:r>
      <w:r w:rsidR="004311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activos </w:t>
      </w:r>
      <w:r w:rsidR="003C2434">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de E</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stados extranjeros</w:t>
      </w:r>
      <w:r w:rsidR="004311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en territorio francés.</w:t>
      </w:r>
    </w:p>
    <w:p w14:paraId="3DCF93B2" w14:textId="77777777" w:rsidR="0042521C" w:rsidRDefault="0042521C"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p>
    <w:p w14:paraId="74524B94" w14:textId="4E416514" w:rsidR="004F1A09" w:rsidRPr="004F1A09" w:rsidRDefault="004F1A09"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 ley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insert</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ó </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nuevas disposiciones en el </w:t>
      </w:r>
      <w:r w:rsidR="001900BA">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Code</w:t>
      </w:r>
      <w:proofErr w:type="spellEnd"/>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des </w:t>
      </w:r>
      <w:proofErr w:type="spellStart"/>
      <w:r w:rsidR="004311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roc</w:t>
      </w:r>
      <w:r w:rsidRPr="004F1A09">
        <w:rPr>
          <w:rFonts w:ascii="Arial" w:eastAsia="Arial Unicode MS" w:hAnsi="Arial" w:cs="Arial"/>
          <w:color w:val="000000"/>
          <w:sz w:val="24"/>
          <w:szCs w:val="24"/>
          <w:bdr w:val="nil"/>
          <w:lang w:val="fr-FR" w:eastAsia="es-AR"/>
          <w14:textOutline w14:w="0" w14:cap="flat" w14:cmpd="sng" w14:algn="ctr">
            <w14:noFill/>
            <w14:prstDash w14:val="solid"/>
            <w14:bevel/>
          </w14:textOutline>
        </w:rPr>
        <w:t>édures</w:t>
      </w:r>
      <w:proofErr w:type="spellEnd"/>
      <w:r w:rsidRPr="004F1A09">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 </w:t>
      </w:r>
      <w:r w:rsidR="00431109">
        <w:rPr>
          <w:rFonts w:ascii="Arial" w:eastAsia="Arial Unicode MS" w:hAnsi="Arial" w:cs="Arial"/>
          <w:color w:val="000000"/>
          <w:sz w:val="24"/>
          <w:szCs w:val="24"/>
          <w:bdr w:val="nil"/>
          <w:lang w:val="fr-FR" w:eastAsia="es-AR"/>
          <w14:textOutline w14:w="0" w14:cap="flat" w14:cmpd="sng" w14:algn="ctr">
            <w14:noFill/>
            <w14:prstDash w14:val="solid"/>
            <w14:bevel/>
          </w14:textOutline>
        </w:rPr>
        <w:t>C</w:t>
      </w:r>
      <w:r w:rsidRPr="004F1A09">
        <w:rPr>
          <w:rFonts w:ascii="Arial" w:eastAsia="Arial Unicode MS" w:hAnsi="Arial" w:cs="Arial"/>
          <w:color w:val="000000"/>
          <w:sz w:val="24"/>
          <w:szCs w:val="24"/>
          <w:bdr w:val="nil"/>
          <w:lang w:val="fr-FR" w:eastAsia="es-AR"/>
          <w14:textOutline w14:w="0" w14:cap="flat" w14:cmpd="sng" w14:algn="ctr">
            <w14:noFill/>
            <w14:prstDash w14:val="solid"/>
            <w14:bevel/>
          </w14:textOutline>
        </w:rPr>
        <w:t>iviles d'exécutio</w:t>
      </w:r>
      <w:r w:rsidR="001900BA">
        <w:rPr>
          <w:rFonts w:ascii="Arial" w:eastAsia="Arial Unicode MS" w:hAnsi="Arial" w:cs="Arial"/>
          <w:color w:val="000000"/>
          <w:sz w:val="24"/>
          <w:szCs w:val="24"/>
          <w:bdr w:val="nil"/>
          <w:lang w:val="fr-FR" w:eastAsia="es-AR"/>
          <w14:textOutline w14:w="0" w14:cap="flat" w14:cmpd="sng" w14:algn="ctr">
            <w14:noFill/>
            <w14:prstDash w14:val="solid"/>
            <w14:bevel/>
          </w14:textOutline>
        </w:rPr>
        <w:t>n »</w:t>
      </w:r>
      <w:r w:rsidRPr="004F1A09">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 (C</w:t>
      </w:r>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digo de Procedimiento Civil de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Ejecuci</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y contiene provisiones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espec</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4F1A09">
        <w:rPr>
          <w:rFonts w:ascii="Arial" w:eastAsia="Arial Unicode MS" w:hAnsi="Arial" w:cs="Arial"/>
          <w:color w:val="000000"/>
          <w:sz w:val="24"/>
          <w:szCs w:val="24"/>
          <w:bdr w:val="nil"/>
          <w:lang w:val="pt-PT" w:eastAsia="es-AR"/>
          <w14:textOutline w14:w="0" w14:cap="flat" w14:cmpd="sng" w14:algn="ctr">
            <w14:noFill/>
            <w14:prstDash w14:val="solid"/>
            <w14:bevel/>
          </w14:textOutline>
        </w:rPr>
        <w:t>ficas</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que apuntan a proteger </w:t>
      </w:r>
      <w:r w:rsidR="004311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 los e</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stados extranjeros contra acciones de los fondos buitre</w:t>
      </w:r>
      <w:r w:rsidRPr="004F1A09">
        <w:rPr>
          <w:rFonts w:ascii="Arial" w:eastAsia="Helvetica Neue" w:hAnsi="Arial" w:cs="Arial"/>
          <w:color w:val="000000"/>
          <w:sz w:val="24"/>
          <w:szCs w:val="24"/>
          <w:bdr w:val="nil"/>
          <w:vertAlign w:val="superscript"/>
          <w:lang w:eastAsia="es-AR"/>
          <w14:textOutline w14:w="0" w14:cap="flat" w14:cmpd="sng" w14:algn="ctr">
            <w14:noFill/>
            <w14:prstDash w14:val="solid"/>
            <w14:bevel/>
          </w14:textOutline>
        </w:rPr>
        <w:footnoteReference w:id="1"/>
      </w:r>
      <w:r w:rsidR="004311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p>
    <w:p w14:paraId="142A658E" w14:textId="77777777" w:rsidR="004F1A09" w:rsidRPr="004F1A09" w:rsidRDefault="004F1A09"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3986A492" w14:textId="77777777" w:rsidR="004F1A09" w:rsidRPr="004F1A09" w:rsidRDefault="004F1A09"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Su </w:t>
      </w:r>
      <w:proofErr w:type="spellStart"/>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artí</w:t>
      </w:r>
      <w:proofErr w:type="spellEnd"/>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culo 59 consta de disposiciones generales relativas a la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protecci</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la propiedad del estado extranjero, que en gran medida refleja la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Convenci</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de las Naciones Unidas sobre las inmunidades jurisdiccionales de los estados y sus bienes de 2004</w:t>
      </w:r>
      <w:r w:rsidRPr="004F1A09">
        <w:rPr>
          <w:rFonts w:ascii="Arial" w:eastAsia="Helvetica Neue" w:hAnsi="Arial" w:cs="Arial"/>
          <w:color w:val="000000"/>
          <w:sz w:val="24"/>
          <w:szCs w:val="24"/>
          <w:bdr w:val="nil"/>
          <w:vertAlign w:val="superscript"/>
          <w:lang w:eastAsia="es-AR"/>
          <w14:textOutline w14:w="0" w14:cap="flat" w14:cmpd="sng" w14:algn="ctr">
            <w14:noFill/>
            <w14:prstDash w14:val="solid"/>
            <w14:bevel/>
          </w14:textOutline>
        </w:rPr>
        <w:footnoteReference w:id="2"/>
      </w:r>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p>
    <w:p w14:paraId="7D64406A" w14:textId="77777777" w:rsidR="004F1A09" w:rsidRPr="004F1A09" w:rsidRDefault="004F1A09"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0A081860" w14:textId="77777777" w:rsidR="004F1A09" w:rsidRPr="004F1A09" w:rsidRDefault="004F1A09"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El art</w:t>
      </w:r>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culo 60 protege la propiedad de los estados extranjeros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espec</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ficamente</w:t>
      </w:r>
      <w:proofErr w:type="spellEnd"/>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contra los fondos buitre. En virtud de este art</w:t>
      </w:r>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culo, las medidas de apremio s</w:t>
      </w:r>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lo pueden ser autorizadas por un juez si se cumplen condiciones muy restrictivas. Los tribunales no pueden autorizar ninguna medida contra la propiedad de un Estado iniciada por el tenedor de un instrumento de deuda soberana si se cumplen las siguientes condiciones:</w:t>
      </w:r>
    </w:p>
    <w:p w14:paraId="0A879042" w14:textId="77777777" w:rsidR="0088593E" w:rsidRDefault="0088593E"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39AFF6BB" w14:textId="18AB9BE0" w:rsidR="004F1A09" w:rsidRPr="0088593E" w:rsidRDefault="004F1A09" w:rsidP="0088593E">
      <w:pPr>
        <w:pStyle w:val="Prrafodelista"/>
        <w:numPr>
          <w:ilvl w:val="0"/>
          <w:numId w:val="10"/>
        </w:num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w:t>
      </w:r>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l </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Estado deudor estaba en la lista de la OCDE de receptores de desarrollo oficial al emitir su instrumento de deuda</w:t>
      </w:r>
    </w:p>
    <w:p w14:paraId="2E994711" w14:textId="77777777" w:rsidR="004F1A09" w:rsidRPr="004F1A09" w:rsidRDefault="004F1A09"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49481691" w14:textId="77777777" w:rsidR="004F1A09" w:rsidRPr="0088593E" w:rsidRDefault="004F1A09" w:rsidP="0088593E">
      <w:pPr>
        <w:pStyle w:val="Prrafodelista"/>
        <w:numPr>
          <w:ilvl w:val="0"/>
          <w:numId w:val="10"/>
        </w:num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w:t>
      </w:r>
      <w:r w:rsidRPr="0088593E">
        <w:rPr>
          <w:rFonts w:ascii="Arial" w:eastAsia="Arial Unicode MS" w:hAnsi="Arial" w:cs="Arial"/>
          <w:color w:val="000000"/>
          <w:sz w:val="24"/>
          <w:szCs w:val="24"/>
          <w:bdr w:val="nil"/>
          <w:lang w:val="pt-PT" w:eastAsia="es-AR"/>
          <w14:textOutline w14:w="0" w14:cap="flat" w14:cmpd="sng" w14:algn="ctr">
            <w14:noFill/>
            <w14:prstDash w14:val="solid"/>
            <w14:bevel/>
          </w14:textOutline>
        </w:rPr>
        <w:t>l acreedor adquiri</w:t>
      </w:r>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ó </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el instrumento de deuda mientras el Estado deudor estaba en mora con este instrumento o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hab</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w:t>
      </w:r>
      <w:proofErr w:type="spellEnd"/>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propuesto un cambio en el plazo de la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obligaci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deuda (una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w:t>
      </w:r>
    </w:p>
    <w:p w14:paraId="6D9685C6" w14:textId="0EE6A4D3" w:rsidR="004F1A09" w:rsidRDefault="004F1A09"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414DEFA5" w14:textId="328A706E" w:rsidR="0042521C" w:rsidRDefault="0042521C"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4DB46492" w14:textId="0A162BFC" w:rsidR="0042521C" w:rsidRDefault="0042521C"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0FA225E9" w14:textId="77777777" w:rsidR="0042521C" w:rsidRPr="004F1A09" w:rsidRDefault="0042521C"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4296F99C" w14:textId="77777777" w:rsidR="004F1A09" w:rsidRPr="0088593E" w:rsidRDefault="004F1A09" w:rsidP="0088593E">
      <w:pPr>
        <w:pStyle w:val="Prrafodelista"/>
        <w:numPr>
          <w:ilvl w:val="0"/>
          <w:numId w:val="10"/>
        </w:num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lastRenderedPageBreak/>
        <w:t xml:space="preserve">El incumplimiento o la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la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obligaci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deuda se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hab</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w:t>
      </w:r>
      <w:proofErr w:type="spellEnd"/>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iniciado menos de 48 meses antes (en el momento en que el tenedor de la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obligaci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solicit</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ó </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obtener una orden o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moci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o un acuerdo de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de-DE" w:eastAsia="es-AR"/>
          <w14:textOutline w14:w="0" w14:cap="flat" w14:cmpd="sng" w14:algn="ctr">
            <w14:noFill/>
            <w14:prstDash w14:val="solid"/>
            <w14:bevel/>
          </w14:textOutline>
        </w:rPr>
        <w:t>n hab</w:t>
      </w:r>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w:t>
      </w:r>
      <w:proofErr w:type="spellEnd"/>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sido aceptado por los acreedores que representaban al menos el 66 por ciento del monto principal de las reclamaciones elegibles</w:t>
      </w:r>
    </w:p>
    <w:p w14:paraId="4877029A" w14:textId="77777777" w:rsidR="0088593E" w:rsidRDefault="0088593E"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5EB3F5B5" w14:textId="064E9C01" w:rsidR="004F1A09" w:rsidRPr="0088593E" w:rsidRDefault="004F1A09" w:rsidP="0088593E">
      <w:pPr>
        <w:pStyle w:val="Prrafodelista"/>
        <w:numPr>
          <w:ilvl w:val="0"/>
          <w:numId w:val="10"/>
        </w:num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Independientemente de la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aceptaci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una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de la deuda por al menos el 66 por ciento de los acreedores, un acreedor disidente a</w:t>
      </w:r>
      <w:proofErr w:type="spellStart"/>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ún</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proofErr w:type="spellStart"/>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podr</w:t>
      </w:r>
      <w:proofErr w:type="spellEnd"/>
      <w:r w:rsidRPr="0088593E">
        <w:rPr>
          <w:rFonts w:ascii="Arial" w:eastAsia="Arial Unicode MS" w:hAnsi="Arial" w:cs="Arial"/>
          <w:color w:val="000000"/>
          <w:sz w:val="24"/>
          <w:szCs w:val="24"/>
          <w:bdr w:val="nil"/>
          <w:lang w:val="pt-PT" w:eastAsia="es-AR"/>
          <w14:textOutline w14:w="0" w14:cap="flat" w14:cmpd="sng" w14:algn="ctr">
            <w14:noFill/>
            <w14:prstDash w14:val="solid"/>
            <w14:bevel/>
          </w14:textOutline>
        </w:rPr>
        <w:t xml:space="preserve">á </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acudir a los tribunales para solicitar medidas provisionales y de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ejecuci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contra bienes propiedad de un estado extranjero por sumas cuyo monto total sea inferior o igual</w:t>
      </w:r>
      <w:r w:rsidR="002B4132">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a la cantidad que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habr</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w:t>
      </w:r>
      <w:proofErr w:type="spellEnd"/>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obtenido si hubiera aceptado la propuesta de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w:t>
      </w:r>
    </w:p>
    <w:p w14:paraId="38E603BC" w14:textId="77777777" w:rsidR="004F1A09" w:rsidRPr="004F1A09" w:rsidRDefault="004F1A09"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6B2A1B1C" w14:textId="77777777" w:rsidR="004F1A09" w:rsidRPr="0088593E" w:rsidRDefault="004F1A09" w:rsidP="0088593E">
      <w:pPr>
        <w:pStyle w:val="Prrafodelista"/>
        <w:numPr>
          <w:ilvl w:val="0"/>
          <w:numId w:val="10"/>
        </w:num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El juez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podr</w:t>
      </w:r>
      <w:proofErr w:type="spellEnd"/>
      <w:r w:rsidRPr="0088593E">
        <w:rPr>
          <w:rFonts w:ascii="Arial" w:eastAsia="Arial Unicode MS" w:hAnsi="Arial" w:cs="Arial"/>
          <w:color w:val="000000"/>
          <w:sz w:val="24"/>
          <w:szCs w:val="24"/>
          <w:bdr w:val="nil"/>
          <w:lang w:val="pt-PT" w:eastAsia="es-AR"/>
          <w14:textOutline w14:w="0" w14:cap="flat" w14:cmpd="sng" w14:algn="ctr">
            <w14:noFill/>
            <w14:prstDash w14:val="solid"/>
            <w14:bevel/>
          </w14:textOutline>
        </w:rPr>
        <w:t xml:space="preserve">á </w:t>
      </w:r>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cambiar ambos plazos de 48 meses a 72 meses en caso de conducta manifiestamente abusiva del titular de la </w:t>
      </w:r>
      <w:proofErr w:type="spellStart"/>
      <w:r w:rsidRPr="0088593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obligaci</w:t>
      </w:r>
      <w:proofErr w:type="spellEnd"/>
      <w:r w:rsidRPr="0088593E">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88593E">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n de la </w:t>
      </w:r>
      <w:proofErr w:type="spellStart"/>
      <w:r w:rsidRPr="0088593E">
        <w:rPr>
          <w:rFonts w:ascii="Arial" w:eastAsia="Arial Unicode MS" w:hAnsi="Arial" w:cs="Arial"/>
          <w:color w:val="000000"/>
          <w:sz w:val="24"/>
          <w:szCs w:val="24"/>
          <w:bdr w:val="nil"/>
          <w:lang w:val="fr-FR" w:eastAsia="es-AR"/>
          <w14:textOutline w14:w="0" w14:cap="flat" w14:cmpd="sng" w14:algn="ctr">
            <w14:noFill/>
            <w14:prstDash w14:val="solid"/>
            <w14:bevel/>
          </w14:textOutline>
        </w:rPr>
        <w:t>deuda</w:t>
      </w:r>
      <w:proofErr w:type="spellEnd"/>
      <w:r w:rsidRPr="0088593E">
        <w:rPr>
          <w:rFonts w:ascii="Arial" w:eastAsia="Arial Unicode MS" w:hAnsi="Arial" w:cs="Arial"/>
          <w:color w:val="000000"/>
          <w:sz w:val="24"/>
          <w:szCs w:val="24"/>
          <w:bdr w:val="nil"/>
          <w:lang w:val="fr-FR" w:eastAsia="es-AR"/>
          <w14:textOutline w14:w="0" w14:cap="flat" w14:cmpd="sng" w14:algn="ctr">
            <w14:noFill/>
            <w14:prstDash w14:val="solid"/>
            <w14:bevel/>
          </w14:textOutline>
        </w:rPr>
        <w:t>.</w:t>
      </w:r>
    </w:p>
    <w:p w14:paraId="495EFCE1" w14:textId="77777777" w:rsidR="004F1A09" w:rsidRPr="004F1A09" w:rsidRDefault="004F1A09" w:rsidP="0088593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4FC3C28A" w14:textId="650D8D1F" w:rsidR="003B7D88" w:rsidRPr="003B7D88" w:rsidRDefault="004F1A09" w:rsidP="003B7D88">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El 8 de diciembre de 2016, el Consejo Constitucional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franc</w:t>
      </w:r>
      <w:proofErr w:type="spellEnd"/>
      <w:r w:rsidRPr="004F1A09">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r w:rsidRPr="004F1A09">
        <w:rPr>
          <w:rFonts w:ascii="Arial" w:eastAsia="Arial Unicode MS" w:hAnsi="Arial" w:cs="Arial"/>
          <w:color w:val="000000"/>
          <w:sz w:val="24"/>
          <w:szCs w:val="24"/>
          <w:bdr w:val="nil"/>
          <w:lang w:val="pt-PT" w:eastAsia="es-AR"/>
          <w14:textOutline w14:w="0" w14:cap="flat" w14:cmpd="sng" w14:algn="ctr">
            <w14:noFill/>
            <w14:prstDash w14:val="solid"/>
            <w14:bevel/>
          </w14:textOutline>
        </w:rPr>
        <w:t>s declar</w:t>
      </w:r>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ó </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constitucionales los art</w:t>
      </w:r>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culos 59 y 60 de la nueva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legislaci</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incluido el derecho al respeto de la propiedad privada, as</w:t>
      </w:r>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í </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como el derecho a obtener la </w:t>
      </w:r>
      <w:proofErr w:type="spellStart"/>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ejecuci</w:t>
      </w:r>
      <w:proofErr w:type="spellEnd"/>
      <w:r w:rsidRPr="004F1A09">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4F1A09">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de las decisiones judiciales</w:t>
      </w:r>
      <w:r w:rsidRPr="004F1A09">
        <w:rPr>
          <w:rFonts w:ascii="Arial" w:eastAsia="Helvetica Neue" w:hAnsi="Arial" w:cs="Arial"/>
          <w:color w:val="000000"/>
          <w:sz w:val="24"/>
          <w:szCs w:val="24"/>
          <w:bdr w:val="nil"/>
          <w:vertAlign w:val="superscript"/>
          <w:lang w:eastAsia="es-AR"/>
          <w14:textOutline w14:w="0" w14:cap="flat" w14:cmpd="sng" w14:algn="ctr">
            <w14:noFill/>
            <w14:prstDash w14:val="solid"/>
            <w14:bevel/>
          </w14:textOutline>
        </w:rPr>
        <w:footnoteReference w:id="3"/>
      </w:r>
      <w:r w:rsidR="003B7D88">
        <w:rPr>
          <w:rFonts w:ascii="Arial" w:eastAsia="Arial Unicode MS" w:hAnsi="Arial" w:cs="Arial"/>
          <w:color w:val="000000"/>
          <w:sz w:val="24"/>
          <w:szCs w:val="24"/>
          <w:bdr w:val="nil"/>
          <w:lang w:eastAsia="es-AR"/>
          <w14:textOutline w14:w="0" w14:cap="flat" w14:cmpd="sng" w14:algn="ctr">
            <w14:noFill/>
            <w14:prstDash w14:val="solid"/>
            <w14:bevel/>
          </w14:textOutline>
        </w:rPr>
        <w:t>.</w:t>
      </w:r>
    </w:p>
    <w:p w14:paraId="240AFD68" w14:textId="77777777" w:rsidR="003B7D88" w:rsidRPr="003B7D88" w:rsidRDefault="003B7D88" w:rsidP="003B7D88">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54A83567" w14:textId="718D1EBF" w:rsidR="003B7D88" w:rsidRDefault="003B7D88" w:rsidP="003B7D88">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proofErr w:type="spellStart"/>
      <w:r>
        <w:rPr>
          <w:rFonts w:ascii="Arial" w:eastAsia="Arial Unicode MS" w:hAnsi="Arial" w:cs="Arial"/>
          <w:color w:val="000000"/>
          <w:sz w:val="24"/>
          <w:szCs w:val="24"/>
          <w:bdr w:val="nil"/>
          <w:lang w:val="fr-FR" w:eastAsia="es-AR"/>
          <w14:textOutline w14:w="0" w14:cap="flat" w14:cmpd="sng" w14:algn="ctr">
            <w14:noFill/>
            <w14:prstDash w14:val="solid"/>
            <w14:bevel/>
          </w14:textOutline>
        </w:rPr>
        <w:t>Otro</w:t>
      </w:r>
      <w:proofErr w:type="spellEnd"/>
      <w:r>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 </w:t>
      </w:r>
      <w:proofErr w:type="spellStart"/>
      <w:r>
        <w:rPr>
          <w:rFonts w:ascii="Arial" w:eastAsia="Arial Unicode MS" w:hAnsi="Arial" w:cs="Arial"/>
          <w:color w:val="000000"/>
          <w:sz w:val="24"/>
          <w:szCs w:val="24"/>
          <w:bdr w:val="nil"/>
          <w:lang w:val="fr-FR" w:eastAsia="es-AR"/>
          <w14:textOutline w14:w="0" w14:cap="flat" w14:cmpd="sng" w14:algn="ctr">
            <w14:noFill/>
            <w14:prstDash w14:val="solid"/>
            <w14:bevel/>
          </w14:textOutline>
        </w:rPr>
        <w:t>antecedente</w:t>
      </w:r>
      <w:proofErr w:type="spellEnd"/>
      <w:r>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 que </w:t>
      </w:r>
      <w:proofErr w:type="spellStart"/>
      <w:r>
        <w:rPr>
          <w:rFonts w:ascii="Arial" w:eastAsia="Arial Unicode MS" w:hAnsi="Arial" w:cs="Arial"/>
          <w:color w:val="000000"/>
          <w:sz w:val="24"/>
          <w:szCs w:val="24"/>
          <w:bdr w:val="nil"/>
          <w:lang w:val="fr-FR" w:eastAsia="es-AR"/>
          <w14:textOutline w14:w="0" w14:cap="flat" w14:cmpd="sng" w14:algn="ctr">
            <w14:noFill/>
            <w14:prstDash w14:val="solid"/>
            <w14:bevel/>
          </w14:textOutline>
        </w:rPr>
        <w:t>podemos</w:t>
      </w:r>
      <w:proofErr w:type="spellEnd"/>
      <w:r>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 </w:t>
      </w:r>
      <w:proofErr w:type="spellStart"/>
      <w:r>
        <w:rPr>
          <w:rFonts w:ascii="Arial" w:eastAsia="Arial Unicode MS" w:hAnsi="Arial" w:cs="Arial"/>
          <w:color w:val="000000"/>
          <w:sz w:val="24"/>
          <w:szCs w:val="24"/>
          <w:bdr w:val="nil"/>
          <w:lang w:val="fr-FR" w:eastAsia="es-AR"/>
          <w14:textOutline w14:w="0" w14:cap="flat" w14:cmpd="sng" w14:algn="ctr">
            <w14:noFill/>
            <w14:prstDash w14:val="solid"/>
            <w14:bevel/>
          </w14:textOutline>
        </w:rPr>
        <w:t>mencionar</w:t>
      </w:r>
      <w:proofErr w:type="spellEnd"/>
      <w:r>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 es el </w:t>
      </w:r>
      <w:proofErr w:type="spellStart"/>
      <w:r>
        <w:rPr>
          <w:rFonts w:ascii="Arial" w:eastAsia="Arial Unicode MS" w:hAnsi="Arial" w:cs="Arial"/>
          <w:color w:val="000000"/>
          <w:sz w:val="24"/>
          <w:szCs w:val="24"/>
          <w:bdr w:val="nil"/>
          <w:lang w:val="fr-FR" w:eastAsia="es-AR"/>
          <w14:textOutline w14:w="0" w14:cap="flat" w14:cmpd="sng" w14:algn="ctr">
            <w14:noFill/>
            <w14:prstDash w14:val="solid"/>
            <w14:bevel/>
          </w14:textOutline>
        </w:rPr>
        <w:t>caso</w:t>
      </w:r>
      <w:proofErr w:type="spellEnd"/>
      <w:r>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 de </w:t>
      </w:r>
      <w:proofErr w:type="spellStart"/>
      <w:r w:rsidRPr="000A2B2B">
        <w:rPr>
          <w:rFonts w:ascii="Arial" w:eastAsia="Arial Unicode MS" w:hAnsi="Arial" w:cs="Arial"/>
          <w:b/>
          <w:bCs/>
          <w:color w:val="000000"/>
          <w:sz w:val="24"/>
          <w:szCs w:val="24"/>
          <w:bdr w:val="nil"/>
          <w:lang w:val="fr-FR" w:eastAsia="es-AR"/>
          <w14:textOutline w14:w="0" w14:cap="flat" w14:cmpd="sng" w14:algn="ctr">
            <w14:noFill/>
            <w14:prstDash w14:val="solid"/>
            <w14:bevel/>
          </w14:textOutline>
        </w:rPr>
        <w:t>Grecia</w:t>
      </w:r>
      <w:proofErr w:type="spellEnd"/>
      <w:r w:rsidRPr="000A2B2B">
        <w:rPr>
          <w:rFonts w:ascii="Arial" w:eastAsia="Arial Unicode MS" w:hAnsi="Arial" w:cs="Arial"/>
          <w:b/>
          <w:bCs/>
          <w:color w:val="000000"/>
          <w:sz w:val="24"/>
          <w:szCs w:val="24"/>
          <w:bdr w:val="nil"/>
          <w:lang w:val="fr-FR" w:eastAsia="es-AR"/>
          <w14:textOutline w14:w="0" w14:cap="flat" w14:cmpd="sng" w14:algn="ctr">
            <w14:noFill/>
            <w14:prstDash w14:val="solid"/>
            <w14:bevel/>
          </w14:textOutline>
        </w:rPr>
        <w:t>.</w:t>
      </w:r>
      <w:r>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 </w:t>
      </w:r>
      <w:r w:rsidRPr="003B7D88">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En 2012, </w:t>
      </w:r>
      <w:r>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este </w:t>
      </w:r>
      <w:proofErr w:type="spellStart"/>
      <w:r>
        <w:rPr>
          <w:rFonts w:ascii="Arial" w:eastAsia="Arial Unicode MS" w:hAnsi="Arial" w:cs="Arial"/>
          <w:color w:val="000000"/>
          <w:sz w:val="24"/>
          <w:szCs w:val="24"/>
          <w:bdr w:val="nil"/>
          <w:lang w:val="fr-FR" w:eastAsia="es-AR"/>
          <w14:textOutline w14:w="0" w14:cap="flat" w14:cmpd="sng" w14:algn="ctr">
            <w14:noFill/>
            <w14:prstDash w14:val="solid"/>
            <w14:bevel/>
          </w14:textOutline>
        </w:rPr>
        <w:t>país</w:t>
      </w:r>
      <w:proofErr w:type="spellEnd"/>
      <w:r>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 </w:t>
      </w:r>
      <w:proofErr w:type="spellStart"/>
      <w:r w:rsidRPr="003B7D88">
        <w:rPr>
          <w:rFonts w:ascii="Arial" w:eastAsia="Arial Unicode MS" w:hAnsi="Arial" w:cs="Arial"/>
          <w:color w:val="000000"/>
          <w:sz w:val="24"/>
          <w:szCs w:val="24"/>
          <w:bdr w:val="nil"/>
          <w:lang w:val="fr-FR" w:eastAsia="es-AR"/>
          <w14:textOutline w14:w="0" w14:cap="flat" w14:cmpd="sng" w14:algn="ctr">
            <w14:noFill/>
            <w14:prstDash w14:val="solid"/>
            <w14:bevel/>
          </w14:textOutline>
        </w:rPr>
        <w:t>implement</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ó </w:t>
      </w:r>
      <w:r>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una nueva </w:t>
      </w:r>
      <w:proofErr w:type="spellStart"/>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legislació</w:t>
      </w:r>
      <w:proofErr w:type="spellEnd"/>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para permitir la</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deuda con los acreedores minoritarios que no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quer</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an</w:t>
      </w:r>
      <w:proofErr w:type="spellEnd"/>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participar voluntariamente en la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Esta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legislaci</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tambi</w:t>
      </w:r>
      <w:proofErr w:type="spellEnd"/>
      <w:r w:rsidRPr="003B7D88">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puede verse como un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obst</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á</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culo para el comportamiento de los fondos buitre.</w:t>
      </w:r>
    </w:p>
    <w:p w14:paraId="6046475A" w14:textId="77777777" w:rsidR="0042521C" w:rsidRDefault="0042521C" w:rsidP="003B7D88">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p>
    <w:p w14:paraId="54159A37" w14:textId="7E2B5AC6" w:rsidR="003B7D88" w:rsidRPr="003B7D88" w:rsidRDefault="003B7D88" w:rsidP="003B7D88">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legislaci</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de Grecia es una variante de lo que se conoce como cl</w:t>
      </w:r>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á</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usulas</w:t>
      </w:r>
      <w:proofErr w:type="spellEnd"/>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acci</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3B7D88">
        <w:rPr>
          <w:rFonts w:ascii="Arial" w:eastAsia="Arial Unicode MS" w:hAnsi="Arial" w:cs="Arial"/>
          <w:color w:val="000000"/>
          <w:sz w:val="24"/>
          <w:szCs w:val="24"/>
          <w:bdr w:val="nil"/>
          <w:lang w:val="pt-PT" w:eastAsia="es-AR"/>
          <w14:textOutline w14:w="0" w14:cap="flat" w14:cmpd="sng" w14:algn="ctr">
            <w14:noFill/>
            <w14:prstDash w14:val="solid"/>
            <w14:bevel/>
          </w14:textOutline>
        </w:rPr>
        <w:t>n colectiva (CAC).</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Lo central de </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é</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sta</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es la cl</w:t>
      </w:r>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á</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usula</w:t>
      </w:r>
      <w:proofErr w:type="spellEnd"/>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acci</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mayoritaria, que permite que una gran mayor</w:t>
      </w:r>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w:t>
      </w:r>
      <w:proofErr w:type="spellEnd"/>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acreedores apruebe los t</w:t>
      </w:r>
      <w:r w:rsidRPr="003B7D88">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rminos</w:t>
      </w:r>
      <w:proofErr w:type="spellEnd"/>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y vincule a los tenedores de bonos minoritarios disidentes.</w:t>
      </w:r>
    </w:p>
    <w:p w14:paraId="5BCA1C1A" w14:textId="77777777" w:rsidR="003B7D88" w:rsidRPr="003B7D88" w:rsidRDefault="003B7D88" w:rsidP="003B7D88">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73A4EF67" w14:textId="3D12B446" w:rsidR="003B7D88" w:rsidRDefault="003B7D88" w:rsidP="003B7D88">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Actualmente, la mayor</w:t>
      </w:r>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a de las instituciones financieras internacionales y los gobiernos </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conf</w:t>
      </w:r>
      <w:proofErr w:type="spellEnd"/>
      <w:r w:rsidRPr="003B7D88">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an</w:t>
      </w:r>
      <w:proofErr w:type="spellEnd"/>
      <w:r w:rsidRPr="003B7D8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en las CAC para permitir reestructuraciones de deuda exitosas.</w:t>
      </w:r>
    </w:p>
    <w:p w14:paraId="7DAC63CA" w14:textId="597D3218" w:rsidR="000A2B2B" w:rsidRDefault="000A2B2B" w:rsidP="003B7D88">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p>
    <w:p w14:paraId="175A4DD0" w14:textId="77777777"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0A2B2B">
        <w:rPr>
          <w:rFonts w:ascii="Arial" w:eastAsia="Arial Unicode MS" w:hAnsi="Arial" w:cs="Arial"/>
          <w:color w:val="000000"/>
          <w:sz w:val="24"/>
          <w:szCs w:val="24"/>
          <w:bdr w:val="nil"/>
          <w:lang w:val="pt-PT" w:eastAsia="es-AR"/>
          <w14:textOutline w14:w="0" w14:cap="flat" w14:cmpd="sng" w14:algn="ctr">
            <w14:noFill/>
            <w14:prstDash w14:val="solid"/>
            <w14:bevel/>
          </w14:textOutline>
        </w:rPr>
        <w:t xml:space="preserve">A partir de febrero de 2013, </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pasó ser </w:t>
      </w:r>
      <w:r w:rsidRPr="000A2B2B">
        <w:rPr>
          <w:rFonts w:ascii="Arial" w:eastAsia="Arial Unicode MS" w:hAnsi="Arial" w:cs="Arial"/>
          <w:color w:val="000000"/>
          <w:sz w:val="24"/>
          <w:szCs w:val="24"/>
          <w:bdr w:val="nil"/>
          <w:lang w:val="it-IT" w:eastAsia="es-AR"/>
          <w14:textOutline w14:w="0" w14:cap="flat" w14:cmpd="sng" w14:algn="ctr">
            <w14:noFill/>
            <w14:prstDash w14:val="solid"/>
            <w14:bevel/>
          </w14:textOutline>
        </w:rPr>
        <w:t xml:space="preserve">obligatorio </w:t>
      </w:r>
      <w:proofErr w:type="gramStart"/>
      <w:r w:rsidRPr="000A2B2B">
        <w:rPr>
          <w:rFonts w:ascii="Arial" w:eastAsia="Arial Unicode MS" w:hAnsi="Arial" w:cs="Arial"/>
          <w:color w:val="000000"/>
          <w:sz w:val="24"/>
          <w:szCs w:val="24"/>
          <w:bdr w:val="nil"/>
          <w:lang w:val="it-IT" w:eastAsia="es-AR"/>
          <w14:textOutline w14:w="0" w14:cap="flat" w14:cmpd="sng" w14:algn="ctr">
            <w14:noFill/>
            <w14:prstDash w14:val="solid"/>
            <w14:bevel/>
          </w14:textOutline>
        </w:rPr>
        <w:t>implementar</w:t>
      </w:r>
      <w:proofErr w:type="gram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Cláusulas de Acción Colectiva (</w:t>
      </w:r>
      <w:r w:rsidRPr="000A2B2B">
        <w:rPr>
          <w:rFonts w:ascii="Arial" w:eastAsia="Arial Unicode MS" w:hAnsi="Arial" w:cs="Arial"/>
          <w:color w:val="000000"/>
          <w:sz w:val="24"/>
          <w:szCs w:val="24"/>
          <w:bdr w:val="nil"/>
          <w:lang w:val="de-DE" w:eastAsia="es-AR"/>
          <w14:textOutline w14:w="0" w14:cap="flat" w14:cmpd="sng" w14:algn="ctr">
            <w14:noFill/>
            <w14:prstDash w14:val="solid"/>
            <w14:bevel/>
          </w14:textOutline>
        </w:rPr>
        <w:t xml:space="preserve"> CAC</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en los bonos soberanos de todos los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0A2B2B">
        <w:rPr>
          <w:rFonts w:ascii="Arial" w:eastAsia="Arial Unicode MS" w:hAnsi="Arial" w:cs="Arial"/>
          <w:color w:val="000000"/>
          <w:sz w:val="24"/>
          <w:szCs w:val="24"/>
          <w:bdr w:val="nil"/>
          <w:lang w:val="fr-FR" w:eastAsia="es-AR"/>
          <w14:textOutline w14:w="0" w14:cap="flat" w14:cmpd="sng" w14:algn="ctr">
            <w14:noFill/>
            <w14:prstDash w14:val="solid"/>
            <w14:bevel/>
          </w14:textOutline>
        </w:rPr>
        <w:t xml:space="preserve">ses de la </w:t>
      </w:r>
      <w:r w:rsidRPr="000A2B2B">
        <w:rPr>
          <w:rFonts w:ascii="Arial" w:eastAsia="Arial Unicode MS" w:hAnsi="Arial" w:cs="Arial"/>
          <w:b/>
          <w:bCs/>
          <w:color w:val="000000"/>
          <w:sz w:val="24"/>
          <w:szCs w:val="24"/>
          <w:bdr w:val="nil"/>
          <w:lang w:val="es-ES_tradnl" w:eastAsia="es-AR"/>
          <w14:textOutline w14:w="0" w14:cap="flat" w14:cmpd="sng" w14:algn="ctr">
            <w14:noFill/>
            <w14:prstDash w14:val="solid"/>
            <w14:bevel/>
          </w14:textOutline>
        </w:rPr>
        <w:t>E</w:t>
      </w:r>
      <w:proofErr w:type="spellStart"/>
      <w:r w:rsidRPr="000A2B2B">
        <w:rPr>
          <w:rFonts w:ascii="Arial" w:eastAsia="Arial Unicode MS" w:hAnsi="Arial" w:cs="Arial"/>
          <w:b/>
          <w:bCs/>
          <w:color w:val="000000"/>
          <w:sz w:val="24"/>
          <w:szCs w:val="24"/>
          <w:bdr w:val="nil"/>
          <w:lang w:eastAsia="es-AR"/>
          <w14:textOutline w14:w="0" w14:cap="flat" w14:cmpd="sng" w14:algn="ctr">
            <w14:noFill/>
            <w14:prstDash w14:val="solid"/>
            <w14:bevel/>
          </w14:textOutline>
        </w:rPr>
        <w:t>urozona</w:t>
      </w:r>
      <w:proofErr w:type="spellEnd"/>
      <w:r w:rsidRPr="000A2B2B">
        <w:rPr>
          <w:rFonts w:ascii="Arial" w:eastAsia="Arial Unicode MS" w:hAnsi="Arial" w:cs="Arial"/>
          <w:b/>
          <w:bCs/>
          <w:color w:val="000000"/>
          <w:sz w:val="24"/>
          <w:szCs w:val="24"/>
          <w:bdr w:val="nil"/>
          <w:vertAlign w:val="superscript"/>
          <w:lang w:eastAsia="es-AR"/>
          <w14:textOutline w14:w="0" w14:cap="flat" w14:cmpd="sng" w14:algn="ctr">
            <w14:noFill/>
            <w14:prstDash w14:val="solid"/>
            <w14:bevel/>
          </w14:textOutline>
        </w:rPr>
        <w:footnoteReference w:id="4"/>
      </w:r>
      <w:r w:rsidRPr="000A2B2B">
        <w:rPr>
          <w:rFonts w:ascii="Arial" w:eastAsia="Arial Unicode MS" w:hAnsi="Arial" w:cs="Arial"/>
          <w:b/>
          <w:bCs/>
          <w:color w:val="000000"/>
          <w:sz w:val="24"/>
          <w:szCs w:val="24"/>
          <w:bdr w:val="nil"/>
          <w:lang w:eastAsia="es-AR"/>
          <w14:textOutline w14:w="0" w14:cap="flat" w14:cmpd="sng" w14:algn="ctr">
            <w14:noFill/>
            <w14:prstDash w14:val="solid"/>
            <w14:bevel/>
          </w14:textOutline>
        </w:rPr>
        <w:t>.</w:t>
      </w:r>
    </w:p>
    <w:p w14:paraId="7E67E572" w14:textId="77777777"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72DA5227" w14:textId="789F8160"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En la Eurozona,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implementaci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no fue generada directamente por la actividad de los fondos buitre. Durante la crisis financiera, varios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ses</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europeos enfrentaron graves problemas de endeudamiento (que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contin</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úan</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teniendo) y estuvieron en peligro de tener que reestructurar sus deudas. </w:t>
      </w:r>
    </w:p>
    <w:p w14:paraId="3C8E993B" w14:textId="77777777"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45993809" w14:textId="4BACCD49"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Las CAC impiden que los acreedores </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se </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resistan </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a ingresar en </w:t>
      </w:r>
      <w:r w:rsidR="00B0711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os canjes que proponen los Gobiernos</w:t>
      </w:r>
      <w:r w:rsidR="00B0711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y aumentan las posibilidades de un proceso de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pt-PT" w:eastAsia="es-AR"/>
          <w14:textOutline w14:w="0" w14:cap="flat" w14:cmpd="sng" w14:algn="ctr">
            <w14:noFill/>
            <w14:prstDash w14:val="solid"/>
            <w14:bevel/>
          </w14:textOutline>
        </w:rPr>
        <w:t>n exitoso. Otro objetivo igualmente importante detr</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á</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 de</w:t>
      </w:r>
      <w:r w:rsidR="00B0711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estas normas, </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era garantizar que los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ses</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w:t>
      </w:r>
      <w:proofErr w:type="gram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la</w:t>
      </w:r>
      <w:proofErr w:type="gram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UE no tuvieran que rescatar a otros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ses</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la UE, sino crear incentivos para que los acreedores participaran en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w:t>
      </w:r>
    </w:p>
    <w:p w14:paraId="220795AD" w14:textId="77777777"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1805D09D" w14:textId="6EEC8A96"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En </w:t>
      </w:r>
      <w:r w:rsidR="00B0711E">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síntesis</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para modificar los t</w:t>
      </w:r>
      <w:r w:rsidRPr="000A2B2B">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rminos</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pago en una sola serie de bonos, las CAC de la eurozona requieren un voto afirmativo de los tenedores de no menos del 75</w:t>
      </w:r>
      <w:r w:rsidR="002D2F61">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 </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del monto total del capital de los bonos en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circulaci</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p>
    <w:p w14:paraId="3220C471" w14:textId="77777777"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2E1CFFBD" w14:textId="15A0C680"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Las CAC de la Eurozona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tambi</w:t>
      </w:r>
      <w:proofErr w:type="spellEnd"/>
      <w:r w:rsidRPr="000A2B2B">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permiten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modificaci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series cruzadas. Esto significa que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votaci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modificaci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se agrega para que los tenedores de bonos de m</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á</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 de una serie de bonos puedan decidir si modifican los t</w:t>
      </w:r>
      <w:r w:rsidRPr="000A2B2B">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rminos</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los bonos colectivamente.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modificaci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requiere el consentimiento de no menos del 75</w:t>
      </w:r>
      <w:r w:rsidR="002D2F61">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del 'monto de capital total de los t</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tulos</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deuda en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circulaci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n-US" w:eastAsia="es-AR"/>
          <w14:textOutline w14:w="0" w14:cap="flat" w14:cmpd="sng" w14:algn="ctr">
            <w14:noFill/>
            <w14:prstDash w14:val="solid"/>
            <w14:bevel/>
          </w14:textOutline>
        </w:rPr>
        <w:t>n'</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proofErr w:type="spellStart"/>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Ademá</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 requiere un voto afirmativo de m</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á</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 del 66</w:t>
      </w:r>
      <w:r w:rsidR="002D2F61">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del monto de capital total de la deuda en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circulaci</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los t</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tulos</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deuda que se ver</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an</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afectados por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modificaci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propuesta.</w:t>
      </w:r>
    </w:p>
    <w:p w14:paraId="298BC396" w14:textId="77777777"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71DB27BB" w14:textId="14A81A90"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Actualmente, los CAC del euro tienen un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diseñ</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o </w:t>
      </w:r>
      <w:proofErr w:type="spellStart"/>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má</w:t>
      </w:r>
      <w:proofErr w:type="spellEnd"/>
      <w:r w:rsidRPr="000A2B2B">
        <w:rPr>
          <w:rFonts w:ascii="Arial" w:eastAsia="Arial Unicode MS" w:hAnsi="Arial" w:cs="Arial"/>
          <w:color w:val="000000"/>
          <w:sz w:val="24"/>
          <w:szCs w:val="24"/>
          <w:bdr w:val="nil"/>
          <w:lang w:val="fr-FR" w:eastAsia="es-AR"/>
          <w14:textOutline w14:w="0" w14:cap="flat" w14:cmpd="sng" w14:algn="ctr">
            <w14:noFill/>
            <w14:prstDash w14:val="solid"/>
            <w14:bevel/>
          </w14:textOutline>
        </w:rPr>
        <w:t>s dé</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bil</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que los CAC de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Asociaci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Internacional de Mercados de Capitales (ICMA), que son recomendados por el FMI y el G20, lo que significa que tienen un umbral de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votaci</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proofErr w:type="spellStart"/>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má</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s alto y que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agregaci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votos 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trav</w:t>
      </w:r>
      <w:proofErr w:type="spellEnd"/>
      <w:r w:rsidRPr="000A2B2B">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 de una serie de bonos es voluntaria y m</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á</w:t>
      </w:r>
      <w:r w:rsidRPr="000A2B2B">
        <w:rPr>
          <w:rFonts w:ascii="Arial" w:eastAsia="Arial Unicode MS" w:hAnsi="Arial" w:cs="Arial"/>
          <w:color w:val="000000"/>
          <w:sz w:val="24"/>
          <w:szCs w:val="24"/>
          <w:bdr w:val="nil"/>
          <w:lang w:val="fr-FR" w:eastAsia="es-AR"/>
          <w14:textOutline w14:w="0" w14:cap="flat" w14:cmpd="sng" w14:algn="ctr">
            <w14:noFill/>
            <w14:prstDash w14:val="solid"/>
            <w14:bevel/>
          </w14:textOutline>
        </w:rPr>
        <w:t>s dé</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bil</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Si una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modificaci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se basa en votos en una serie individual de bonos, los tenedores de bonos de otras series pueden beneficiarse de votar en contra de una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con la esperanza de que los tenedores de bonos de otras series aprueben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 acepten p</w:t>
      </w:r>
      <w:r w:rsidRPr="000A2B2B">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rdidas</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y, por lo tanto, mejorar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situaci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financiera del soberano.  Si los tenedores de bonos en varias series hacen lo mismo, existe el riesgo de que se bloquee una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p>
    <w:p w14:paraId="7F9033C1" w14:textId="77777777"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5A1E7902" w14:textId="77777777" w:rsidR="000A2B2B" w:rsidRPr="000A2B2B" w:rsidRDefault="000A2B2B" w:rsidP="000A2B2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Una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de 2004 </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de la Isla de  Dominica ejemplifica la ineficiencia de los CAC de serie </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ú</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nica. Otro ejemplo es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griega de 2012. En este </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ú</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ltimo</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caso, hubo una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concentraci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relativamente alta de bonos en manos de ciertos acreedores que lograron bloquear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posici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en aproximadamente la mitad de las series de bonos extranjeros, impidiendo as</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í </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operaci</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de CAC en esas series. Tal bloqueo puede, por acuerdos</w:t>
      </w:r>
      <w:r w:rsidRPr="000A2B2B">
        <w:rPr>
          <w:rFonts w:ascii="Arial" w:eastAsia="Arial Unicode MS" w:hAnsi="Arial" w:cs="Arial"/>
          <w:color w:val="000000"/>
          <w:sz w:val="24"/>
          <w:szCs w:val="24"/>
          <w:bdr w:val="nil"/>
          <w:lang w:val="pt-PT" w:eastAsia="es-AR"/>
          <w14:textOutline w14:w="0" w14:cap="flat" w14:cmpd="sng" w14:algn="ctr">
            <w14:noFill/>
            <w14:prstDash w14:val="solid"/>
            <w14:bevel/>
          </w14:textOutline>
        </w:rPr>
        <w:t xml:space="preserve"> entre acreedores, </w:t>
      </w:r>
      <w:r w:rsidRPr="000A2B2B">
        <w:rPr>
          <w:rFonts w:ascii="Arial" w:eastAsia="Arial Unicode MS" w:hAnsi="Arial" w:cs="Arial"/>
          <w:color w:val="000000"/>
          <w:sz w:val="24"/>
          <w:szCs w:val="24"/>
          <w:bdr w:val="nil"/>
          <w:rtl/>
          <w:lang w:val="ar-SA" w:eastAsia="es-AR"/>
          <w14:textOutline w14:w="0" w14:cap="flat" w14:cmpd="sng" w14:algn="ctr">
            <w14:noFill/>
            <w14:prstDash w14:val="solid"/>
            <w14:bevel/>
          </w14:textOutline>
        </w:rPr>
        <w:t>“</w:t>
      </w:r>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socavar los incentivos de otras series para aceptar los t</w:t>
      </w:r>
      <w:r w:rsidRPr="000A2B2B">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rminos</w:t>
      </w:r>
      <w:proofErr w:type="spellEnd"/>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la </w:t>
      </w:r>
      <w:proofErr w:type="spellStart"/>
      <w:r w:rsidRPr="000A2B2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0A2B2B">
        <w:rPr>
          <w:rFonts w:ascii="Arial" w:eastAsia="Arial Unicode MS" w:hAnsi="Arial" w:cs="Arial"/>
          <w:color w:val="000000"/>
          <w:sz w:val="24"/>
          <w:szCs w:val="24"/>
          <w:bdr w:val="nil"/>
          <w:lang w:eastAsia="es-AR"/>
          <w14:textOutline w14:w="0" w14:cap="flat" w14:cmpd="sng" w14:algn="ctr">
            <w14:noFill/>
            <w14:prstDash w14:val="solid"/>
            <w14:bevel/>
          </w14:textOutline>
        </w:rPr>
        <w:t>”.</w:t>
      </w:r>
    </w:p>
    <w:p w14:paraId="32F7AA58" w14:textId="1571AD38" w:rsidR="000A2B2B" w:rsidRPr="003B7D88" w:rsidRDefault="00634AA4" w:rsidP="00634AA4">
      <w:pPr>
        <w:pBdr>
          <w:top w:val="nil"/>
          <w:left w:val="nil"/>
          <w:bottom w:val="nil"/>
          <w:right w:val="nil"/>
          <w:between w:val="nil"/>
          <w:bar w:val="nil"/>
        </w:pBdr>
        <w:tabs>
          <w:tab w:val="left" w:pos="3240"/>
        </w:tabs>
        <w:spacing w:after="0" w:line="240" w:lineRule="auto"/>
        <w:jc w:val="both"/>
        <w:rPr>
          <w:rFonts w:ascii="Arial" w:eastAsia="Arial Unicode MS" w:hAnsi="Arial" w:cs="Arial"/>
          <w:color w:val="000000"/>
          <w:sz w:val="24"/>
          <w:szCs w:val="24"/>
          <w:bdr w:val="nil"/>
          <w:lang w:eastAsia="es-AR"/>
          <w14:textOutline w14:w="0" w14:cap="flat" w14:cmpd="sng" w14:algn="ctr">
            <w14:noFill/>
            <w14:prstDash w14:val="solid"/>
            <w14:bevel/>
          </w14:textOutline>
        </w:rPr>
      </w:pPr>
      <w:r>
        <w:rPr>
          <w:rFonts w:ascii="Arial" w:eastAsia="Arial Unicode MS" w:hAnsi="Arial" w:cs="Arial"/>
          <w:color w:val="000000"/>
          <w:sz w:val="24"/>
          <w:szCs w:val="24"/>
          <w:bdr w:val="nil"/>
          <w:lang w:eastAsia="es-AR"/>
          <w14:textOutline w14:w="0" w14:cap="flat" w14:cmpd="sng" w14:algn="ctr">
            <w14:noFill/>
            <w14:prstDash w14:val="solid"/>
            <w14:bevel/>
          </w14:textOutline>
        </w:rPr>
        <w:tab/>
      </w:r>
    </w:p>
    <w:p w14:paraId="10E28352" w14:textId="77777777" w:rsidR="00F007BC" w:rsidRDefault="00F007BC" w:rsidP="005F06C5">
      <w:pPr>
        <w:shd w:val="clear" w:color="auto" w:fill="FFFFFF"/>
        <w:spacing w:after="0" w:line="240" w:lineRule="auto"/>
        <w:jc w:val="both"/>
        <w:textAlignment w:val="bottom"/>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p>
    <w:p w14:paraId="0C67664C" w14:textId="77777777" w:rsidR="003C2434" w:rsidRDefault="003C2434" w:rsidP="005F06C5">
      <w:pPr>
        <w:shd w:val="clear" w:color="auto" w:fill="FFFFFF"/>
        <w:spacing w:after="0" w:line="240" w:lineRule="auto"/>
        <w:jc w:val="both"/>
        <w:textAlignment w:val="bottom"/>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p>
    <w:p w14:paraId="4A6C1D6B" w14:textId="3EFD2789"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lastRenderedPageBreak/>
        <w:t xml:space="preserve">Otro caso que se puede mencionar es el de </w:t>
      </w:r>
      <w:r w:rsidRPr="005F06C5">
        <w:rPr>
          <w:rFonts w:ascii="Arial" w:eastAsia="Arial Unicode MS" w:hAnsi="Arial" w:cs="Arial"/>
          <w:b/>
          <w:bCs/>
          <w:color w:val="000000"/>
          <w:sz w:val="24"/>
          <w:szCs w:val="24"/>
          <w:bdr w:val="nil"/>
          <w:lang w:val="es-ES_tradnl" w:eastAsia="es-AR"/>
          <w14:textOutline w14:w="0" w14:cap="flat" w14:cmpd="sng" w14:algn="ctr">
            <w14:noFill/>
            <w14:prstDash w14:val="solid"/>
            <w14:bevel/>
          </w14:textOutline>
        </w:rPr>
        <w:t>GRAN BRETAÑA Y LAS ISLAS DE MAN Y JERSE</w:t>
      </w:r>
      <w:r>
        <w:rPr>
          <w:rFonts w:ascii="Arial" w:eastAsia="Arial Unicode MS" w:hAnsi="Arial" w:cs="Arial"/>
          <w:b/>
          <w:bCs/>
          <w:color w:val="000000"/>
          <w:sz w:val="24"/>
          <w:szCs w:val="24"/>
          <w:bdr w:val="nil"/>
          <w:lang w:val="es-ES_tradnl" w:eastAsia="es-AR"/>
          <w14:textOutline w14:w="0" w14:cap="flat" w14:cmpd="sng" w14:algn="ctr">
            <w14:noFill/>
            <w14:prstDash w14:val="solid"/>
            <w14:bevel/>
          </w14:textOutline>
        </w:rPr>
        <w:t xml:space="preserve">Y. </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En 2010, el Parlamento del Reino Unido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aprob</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ó </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 </w:t>
      </w:r>
      <w:r w:rsidR="002B4132">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Ley de alivio de la deuda </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para los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ses</w:t>
      </w:r>
      <w:proofErr w:type="spellEnd"/>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en desarrollo</w:t>
      </w:r>
      <w:r w:rsidR="002B4132">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El compromiso del gobierno del Reino Unido fue el de otorgar alivio a los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ses</w:t>
      </w:r>
      <w:proofErr w:type="spellEnd"/>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pobres muy endeudados. </w:t>
      </w:r>
    </w:p>
    <w:p w14:paraId="30B17F91" w14:textId="77777777"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2477B485" w14:textId="2C00FEF4"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El origen de esta medida </w:t>
      </w:r>
      <w:r w:rsidR="002B4132">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fue </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la reunión del G</w:t>
      </w:r>
      <w:r w:rsidR="007A4F5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8</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en 2005, presidida por Gran Bretaña.</w:t>
      </w:r>
      <w:r w:rsidR="007A4F5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Dicha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reuni</w:t>
      </w:r>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culminó </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con la Iniciativa para el Alivio de la Deuda Multilateral (MDRI, por sus siglas en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ingl</w:t>
      </w:r>
      <w:proofErr w:type="spellEnd"/>
      <w:r w:rsidRPr="005F06C5">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s), en la que participaron la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Asociaci</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Internacional de Fomento, el FMI y el Fondo Africano de Desarrollo. </w:t>
      </w:r>
      <w:r w:rsidR="007A4F5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Se creó un </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Fondo </w:t>
      </w:r>
      <w:r w:rsidR="007A4F58"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de 50</w:t>
      </w:r>
      <w:r w:rsidR="007A4F5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.000 </w:t>
      </w:r>
      <w:r w:rsidR="007A4F58"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millones</w:t>
      </w:r>
      <w:r w:rsidR="007A4F5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dólares </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para cancelar la deuda de los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5F06C5">
        <w:rPr>
          <w:rFonts w:ascii="Arial" w:eastAsia="Arial Unicode MS" w:hAnsi="Arial" w:cs="Arial"/>
          <w:color w:val="000000"/>
          <w:sz w:val="24"/>
          <w:szCs w:val="24"/>
          <w:bdr w:val="nil"/>
          <w:lang w:val="fr-FR" w:eastAsia="es-AR"/>
          <w14:textOutline w14:w="0" w14:cap="flat" w14:cmpd="sng" w14:algn="ctr">
            <w14:noFill/>
            <w14:prstDash w14:val="solid"/>
            <w14:bevel/>
          </w14:textOutline>
        </w:rPr>
        <w:t>ses m</w:t>
      </w:r>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á</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s pobres del mundo </w:t>
      </w:r>
      <w:r w:rsidR="007A4F5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correspondientes a</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la iniciativa HIPC</w:t>
      </w:r>
      <w:r w:rsidR="007A4F5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proofErr w:type="spellStart"/>
      <w:r w:rsidR="007A4F58" w:rsidRPr="007A4F58">
        <w:rPr>
          <w:rFonts w:ascii="Arial" w:eastAsia="Arial Unicode MS" w:hAnsi="Arial" w:cs="Arial"/>
          <w:color w:val="000000"/>
          <w:sz w:val="24"/>
          <w:szCs w:val="24"/>
          <w:bdr w:val="nil"/>
          <w:lang w:eastAsia="es-AR"/>
          <w14:textOutline w14:w="0" w14:cap="flat" w14:cmpd="sng" w14:algn="ctr">
            <w14:noFill/>
            <w14:prstDash w14:val="solid"/>
            <w14:bevel/>
          </w14:textOutline>
        </w:rPr>
        <w:t>Heavily</w:t>
      </w:r>
      <w:proofErr w:type="spellEnd"/>
      <w:r w:rsidR="007A4F58" w:rsidRPr="007A4F58">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proofErr w:type="spellStart"/>
      <w:r w:rsidR="007A4F58" w:rsidRPr="007A4F58">
        <w:rPr>
          <w:rFonts w:ascii="Arial" w:eastAsia="Arial Unicode MS" w:hAnsi="Arial" w:cs="Arial"/>
          <w:color w:val="000000"/>
          <w:sz w:val="24"/>
          <w:szCs w:val="24"/>
          <w:bdr w:val="nil"/>
          <w:lang w:eastAsia="es-AR"/>
          <w14:textOutline w14:w="0" w14:cap="flat" w14:cmpd="sng" w14:algn="ctr">
            <w14:noFill/>
            <w14:prstDash w14:val="solid"/>
            <w14:bevel/>
          </w14:textOutline>
        </w:rPr>
        <w:t>Indebted</w:t>
      </w:r>
      <w:proofErr w:type="spellEnd"/>
      <w:r w:rsidR="007A4F58" w:rsidRPr="007A4F58">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Poor </w:t>
      </w:r>
      <w:proofErr w:type="spellStart"/>
      <w:r w:rsidR="007A4F58" w:rsidRPr="007A4F58">
        <w:rPr>
          <w:rFonts w:ascii="Arial" w:eastAsia="Arial Unicode MS" w:hAnsi="Arial" w:cs="Arial"/>
          <w:color w:val="000000"/>
          <w:sz w:val="24"/>
          <w:szCs w:val="24"/>
          <w:bdr w:val="nil"/>
          <w:lang w:eastAsia="es-AR"/>
          <w14:textOutline w14:w="0" w14:cap="flat" w14:cmpd="sng" w14:algn="ctr">
            <w14:noFill/>
            <w14:prstDash w14:val="solid"/>
            <w14:bevel/>
          </w14:textOutline>
        </w:rPr>
        <w:t>Countries</w:t>
      </w:r>
      <w:proofErr w:type="spellEnd"/>
      <w:r w:rsidR="007A4F58">
        <w:rPr>
          <w:rFonts w:ascii="Arial" w:eastAsia="Arial Unicode MS" w:hAnsi="Arial" w:cs="Arial"/>
          <w:color w:val="000000"/>
          <w:sz w:val="24"/>
          <w:szCs w:val="24"/>
          <w:bdr w:val="nil"/>
          <w:lang w:eastAsia="es-AR"/>
          <w14:textOutline w14:w="0" w14:cap="flat" w14:cmpd="sng" w14:algn="ctr">
            <w14:noFill/>
            <w14:prstDash w14:val="solid"/>
            <w14:bevel/>
          </w14:textOutline>
        </w:rPr>
        <w:t>).</w:t>
      </w:r>
    </w:p>
    <w:p w14:paraId="1F5519CD" w14:textId="77777777"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1ECB8BE4" w14:textId="2F0CF78F" w:rsidR="005F06C5" w:rsidRPr="005F06C5" w:rsidRDefault="007A4F58"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 legislación para impedir el accionar de los </w:t>
      </w:r>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fondos buitre se </w:t>
      </w:r>
      <w:proofErr w:type="spellStart"/>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tom</w:t>
      </w:r>
      <w:proofErr w:type="spellEnd"/>
      <w:r w:rsidR="005F06C5"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ó </w:t>
      </w:r>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en respuesta a </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 acción de estos, </w:t>
      </w:r>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que buscaban aprovechar el alivio de la deuda internacional proporcionado por la iniciativa HIPC y la MDRI, que </w:t>
      </w:r>
      <w:proofErr w:type="spellStart"/>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hab</w:t>
      </w:r>
      <w:proofErr w:type="spellEnd"/>
      <w:r w:rsidR="005F06C5"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w:t>
      </w:r>
      <w:proofErr w:type="spellEnd"/>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puesto a ciertos </w:t>
      </w:r>
      <w:proofErr w:type="spellStart"/>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005F06C5"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ses</w:t>
      </w:r>
      <w:proofErr w:type="spellEnd"/>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deudores en una mejor </w:t>
      </w:r>
      <w:proofErr w:type="spellStart"/>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posici</w:t>
      </w:r>
      <w:proofErr w:type="spellEnd"/>
      <w:r w:rsidR="005F06C5"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005F06C5" w:rsidRPr="005F06C5">
        <w:rPr>
          <w:rFonts w:ascii="Arial" w:eastAsia="Arial Unicode MS" w:hAnsi="Arial" w:cs="Arial"/>
          <w:color w:val="000000"/>
          <w:sz w:val="24"/>
          <w:szCs w:val="24"/>
          <w:bdr w:val="nil"/>
          <w:lang w:val="pt-PT" w:eastAsia="es-AR"/>
          <w14:textOutline w14:w="0" w14:cap="flat" w14:cmpd="sng" w14:algn="ctr">
            <w14:noFill/>
            <w14:prstDash w14:val="solid"/>
            <w14:bevel/>
          </w14:textOutline>
        </w:rPr>
        <w:t>n econ</w:t>
      </w:r>
      <w:r w:rsidR="005F06C5"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mica</w:t>
      </w:r>
      <w:r w:rsidR="002B4132">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r w:rsidR="005F06C5"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para pagar otras obligaciones de deuda</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p>
    <w:p w14:paraId="01C26912" w14:textId="77777777"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0CE3918F" w14:textId="1F81F168" w:rsidR="007A4F58"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Los </w:t>
      </w:r>
      <w:r w:rsidRPr="005F06C5">
        <w:rPr>
          <w:rFonts w:ascii="Arial" w:eastAsia="Arial Unicode MS" w:hAnsi="Arial" w:cs="Arial"/>
          <w:color w:val="000000"/>
          <w:sz w:val="24"/>
          <w:szCs w:val="24"/>
          <w:bdr w:val="nil"/>
          <w:lang w:val="pt-PT" w:eastAsia="es-AR"/>
          <w14:textOutline w14:w="0" w14:cap="flat" w14:cmpd="sng" w14:algn="ctr">
            <w14:noFill/>
            <w14:prstDash w14:val="solid"/>
            <w14:bevel/>
          </w14:textOutline>
        </w:rPr>
        <w:t>acreedores</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agresivos iniciaron juicios contra diferentes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í</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ses</w:t>
      </w:r>
      <w:proofErr w:type="spellEnd"/>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HIPC en los que</w:t>
      </w:r>
      <w:r w:rsidR="007A4F58">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r w:rsidRPr="005F06C5">
        <w:rPr>
          <w:rFonts w:ascii="Arial" w:eastAsia="Arial Unicode MS" w:hAnsi="Arial" w:cs="Arial"/>
          <w:color w:val="000000"/>
          <w:sz w:val="24"/>
          <w:szCs w:val="24"/>
          <w:bdr w:val="nil"/>
          <w:lang w:val="pt-PT" w:eastAsia="es-AR"/>
          <w14:textOutline w14:w="0" w14:cap="flat" w14:cmpd="sng" w14:algn="ctr">
            <w14:noFill/>
            <w14:prstDash w14:val="solid"/>
            <w14:bevel/>
          </w14:textOutline>
        </w:rPr>
        <w:t>reclam</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aron el reembolso total en virtud de los acuerdos de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pr</w:t>
      </w:r>
      <w:proofErr w:type="spellEnd"/>
      <w:r w:rsidRPr="005F06C5">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stamos</w:t>
      </w:r>
      <w:proofErr w:type="spellEnd"/>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originales, tal como estaban antes de la deuda HIPC (I</w:t>
      </w:r>
      <w:r w:rsidRPr="005F06C5">
        <w:rPr>
          <w:rFonts w:ascii="Arial" w:eastAsia="Arial Unicode MS" w:hAnsi="Arial" w:cs="Arial"/>
          <w:color w:val="000000"/>
          <w:sz w:val="24"/>
          <w:szCs w:val="24"/>
          <w:bdr w:val="nil"/>
          <w:lang w:val="pt-PT" w:eastAsia="es-AR"/>
          <w14:textOutline w14:w="0" w14:cap="flat" w14:cmpd="sng" w14:algn="ctr">
            <w14:noFill/>
            <w14:prstDash w14:val="solid"/>
            <w14:bevel/>
          </w14:textOutline>
        </w:rPr>
        <w:t xml:space="preserve">niciativa de </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Alivio de la D</w:t>
      </w:r>
      <w:proofErr w:type="spellStart"/>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euda</w:t>
      </w:r>
      <w:proofErr w:type="spellEnd"/>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 Países Pobres Altamente Endeudados)</w:t>
      </w:r>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p>
    <w:p w14:paraId="5716EF0F" w14:textId="77777777" w:rsidR="002B4132" w:rsidRDefault="002B4132" w:rsidP="005F06C5">
      <w:pPr>
        <w:shd w:val="clear" w:color="auto" w:fill="FFFFFF"/>
        <w:spacing w:after="0" w:line="240" w:lineRule="auto"/>
        <w:jc w:val="both"/>
        <w:textAlignment w:val="bottom"/>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p>
    <w:p w14:paraId="7AB355F3" w14:textId="7FA2354C"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 Ley de Alivio de la Deuda impide que los fondos buitre </w:t>
      </w:r>
      <w:r w:rsidRPr="005F06C5">
        <w:rPr>
          <w:rFonts w:ascii="Arial" w:eastAsia="Arial Unicode MS" w:hAnsi="Arial" w:cs="Arial"/>
          <w:color w:val="000000"/>
          <w:sz w:val="24"/>
          <w:szCs w:val="24"/>
          <w:bdr w:val="nil"/>
          <w:lang w:val="de-DE" w:eastAsia="es-AR"/>
          <w14:textOutline w14:w="0" w14:cap="flat" w14:cmpd="sng" w14:algn="ctr">
            <w14:noFill/>
            <w14:prstDash w14:val="solid"/>
            <w14:bevel/>
          </w14:textOutline>
        </w:rPr>
        <w:t>obte</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ngan</w:t>
      </w:r>
      <w:proofErr w:type="spellEnd"/>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ganancias masivas de la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reestructuraci</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la deuda en las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econom</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as en desarrollo al poner un tope a la cantidad que un acreedor litigante puede obtener 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trav</w:t>
      </w:r>
      <w:proofErr w:type="spellEnd"/>
      <w:r w:rsidRPr="005F06C5">
        <w:rPr>
          <w:rFonts w:ascii="Arial" w:eastAsia="Arial Unicode MS" w:hAnsi="Arial" w:cs="Arial"/>
          <w:color w:val="000000"/>
          <w:sz w:val="24"/>
          <w:szCs w:val="24"/>
          <w:bdr w:val="nil"/>
          <w:lang w:val="fr-FR" w:eastAsia="es-AR"/>
          <w14:textOutline w14:w="0" w14:cap="flat" w14:cmpd="sng" w14:algn="ctr">
            <w14:noFill/>
            <w14:prstDash w14:val="solid"/>
            <w14:bevel/>
          </w14:textOutline>
        </w:rPr>
        <w:t>é</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s de una demanda o acuerdo. La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legislaci</w:t>
      </w:r>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fue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diseñ</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ad</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 para asegurar que todos los acreedores proporcionen su parte del alivio de la deuda bajo la iniciativa</w:t>
      </w:r>
      <w:r w:rsidRPr="005F06C5">
        <w:rPr>
          <w:rFonts w:ascii="Arial" w:eastAsia="Arial Unicode MS" w:hAnsi="Arial" w:cs="Arial"/>
          <w:color w:val="000000"/>
          <w:sz w:val="24"/>
          <w:szCs w:val="24"/>
          <w:bdr w:val="nil"/>
          <w:lang w:val="en-US" w:eastAsia="es-AR"/>
          <w14:textOutline w14:w="0" w14:cap="flat" w14:cmpd="sng" w14:algn="ctr">
            <w14:noFill/>
            <w14:prstDash w14:val="solid"/>
            <w14:bevel/>
          </w14:textOutline>
        </w:rPr>
        <w:t xml:space="preserve"> HIPC</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p>
    <w:p w14:paraId="4CF544F6" w14:textId="77777777"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78636A9B" w14:textId="69CA8899"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La Ley regula el importe total recuperable de un reclamo basad</w:t>
      </w:r>
      <w:r w:rsidR="00D557A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o</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en un contrato </w:t>
      </w:r>
      <w:r w:rsidR="00D557A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con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jurisdicci</w:t>
      </w:r>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ón</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de</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tribunales del Reino Unido (incluso si la ley aplicable es la ley de un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s fuera del Reino Unido);</w:t>
      </w:r>
      <w:r w:rsidR="00D557A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el</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importe total recuperable en virtud de una demanda basada en un contrato sujeto a la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legislaci</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del Reino Unido en cualquier parte del mundo; y la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ejecuci</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de una sentencia o laudo extranjero en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relaci</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con la deuda HIPC dentro del Reino Unido.</w:t>
      </w:r>
    </w:p>
    <w:p w14:paraId="18FDA2F7" w14:textId="77777777"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64A23FE2" w14:textId="7788FF95" w:rsidR="00D557A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 Ley </w:t>
      </w:r>
      <w:r w:rsidR="00D557A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había introducido </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una cl</w:t>
      </w:r>
      <w:proofErr w:type="spellStart"/>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áusula</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transitoria</w:t>
      </w:r>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 </w:t>
      </w:r>
      <w:r w:rsidR="00D557A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para evaluar</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el impacto de la</w:t>
      </w:r>
      <w:r w:rsidR="00F16770">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legislación</w:t>
      </w:r>
      <w:r w:rsidR="00D557A5">
        <w:rPr>
          <w:rFonts w:ascii="Arial" w:eastAsia="Arial Unicode MS" w:hAnsi="Arial" w:cs="Arial"/>
          <w:color w:val="000000"/>
          <w:sz w:val="24"/>
          <w:szCs w:val="24"/>
          <w:bdr w:val="nil"/>
          <w:lang w:eastAsia="es-AR"/>
          <w14:textOutline w14:w="0" w14:cap="flat" w14:cmpd="sng" w14:algn="ctr">
            <w14:noFill/>
            <w14:prstDash w14:val="solid"/>
            <w14:bevel/>
          </w14:textOutline>
        </w:rPr>
        <w:t>.</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El 16 de mayo de 2011 la Ley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pas</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 xml:space="preserve">ó </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 ser permanente.</w:t>
      </w:r>
    </w:p>
    <w:p w14:paraId="3C7844D4" w14:textId="77777777" w:rsidR="00D557A5" w:rsidRDefault="00D557A5" w:rsidP="005F06C5">
      <w:pPr>
        <w:shd w:val="clear" w:color="auto" w:fill="FFFFFF"/>
        <w:spacing w:after="0" w:line="240" w:lineRule="auto"/>
        <w:jc w:val="both"/>
        <w:textAlignment w:val="bottom"/>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p>
    <w:p w14:paraId="1A31F9C2" w14:textId="732F2129" w:rsidR="005F06C5" w:rsidRPr="005F06C5" w:rsidRDefault="005F06C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La Isla de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Man</w:t>
      </w:r>
      <w:proofErr w:type="spellEnd"/>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una dependencia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aut</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noma de la Corona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brit</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á</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nica, y Jersey promulgaron una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legislaci</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que reflejaba la </w:t>
      </w:r>
      <w:proofErr w:type="spellStart"/>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legislaci</w:t>
      </w:r>
      <w:proofErr w:type="spellEnd"/>
      <w:r w:rsidRPr="005F06C5">
        <w:rPr>
          <w:rFonts w:ascii="Arial" w:eastAsia="Arial Unicode MS" w:hAnsi="Arial" w:cs="Arial"/>
          <w:color w:val="000000"/>
          <w:sz w:val="24"/>
          <w:szCs w:val="24"/>
          <w:bdr w:val="nil"/>
          <w:lang w:eastAsia="es-AR"/>
          <w14:textOutline w14:w="0" w14:cap="flat" w14:cmpd="sng" w14:algn="ctr">
            <w14:noFill/>
            <w14:prstDash w14:val="solid"/>
            <w14:bevel/>
          </w14:textOutline>
        </w:rPr>
        <w:t>ó</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 del Reino Unido</w:t>
      </w:r>
      <w:r w:rsidR="00F16770">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tanto en forma como en sustancia</w:t>
      </w:r>
      <w:r w:rsidR="00F16770">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en diciembre de 2012 y marzo de 2013, respectivamente</w:t>
      </w:r>
      <w:r w:rsidRPr="005F06C5">
        <w:rPr>
          <w:rFonts w:ascii="Arial" w:eastAsia="Arial Unicode MS" w:hAnsi="Arial" w:cs="Arial"/>
          <w:color w:val="000000"/>
          <w:sz w:val="24"/>
          <w:szCs w:val="24"/>
          <w:bdr w:val="nil"/>
          <w:vertAlign w:val="superscript"/>
          <w:lang w:eastAsia="es-AR"/>
          <w14:textOutline w14:w="0" w14:cap="flat" w14:cmpd="sng" w14:algn="ctr">
            <w14:noFill/>
            <w14:prstDash w14:val="solid"/>
            <w14:bevel/>
          </w14:textOutline>
        </w:rPr>
        <w:footnoteReference w:id="5"/>
      </w:r>
      <w:r w:rsidRPr="005F06C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t>
      </w:r>
    </w:p>
    <w:p w14:paraId="3F82F2EF" w14:textId="2F8DA5C2" w:rsidR="00D557A5" w:rsidRDefault="00D557A5" w:rsidP="005F06C5">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2B75BFFF" w14:textId="2145DD40" w:rsidR="0081563B" w:rsidRDefault="0081563B" w:rsidP="0081563B">
      <w:pPr>
        <w:shd w:val="clear" w:color="auto" w:fill="FFFFFF"/>
        <w:spacing w:after="0" w:line="240" w:lineRule="auto"/>
        <w:jc w:val="both"/>
        <w:textAlignment w:val="bottom"/>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pP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También en </w:t>
      </w:r>
      <w:r w:rsidRPr="0081563B">
        <w:rPr>
          <w:rFonts w:ascii="Arial" w:eastAsia="Arial Unicode MS" w:hAnsi="Arial" w:cs="Arial"/>
          <w:b/>
          <w:bCs/>
          <w:color w:val="000000"/>
          <w:sz w:val="24"/>
          <w:szCs w:val="24"/>
          <w:bdr w:val="nil"/>
          <w:lang w:val="es-ES_tradnl" w:eastAsia="es-AR"/>
          <w14:textOutline w14:w="0" w14:cap="flat" w14:cmpd="sng" w14:algn="ctr">
            <w14:noFill/>
            <w14:prstDash w14:val="solid"/>
            <w14:bevel/>
          </w14:textOutline>
        </w:rPr>
        <w:t>Estados Unidos</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se han presentado p</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royectos de ley como la Ley Stop VULTURE </w:t>
      </w:r>
      <w:proofErr w:type="spellStart"/>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Funds</w:t>
      </w:r>
      <w:proofErr w:type="spellEnd"/>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H.R. 2932</w:t>
      </w:r>
      <w:r w:rsidRPr="0081563B">
        <w:rPr>
          <w:rFonts w:ascii="Arial" w:eastAsia="Arial Unicode MS" w:hAnsi="Arial" w:cs="Arial"/>
          <w:color w:val="000000"/>
          <w:sz w:val="24"/>
          <w:szCs w:val="24"/>
          <w:bdr w:val="nil"/>
          <w:vertAlign w:val="superscript"/>
          <w:lang w:eastAsia="es-AR"/>
          <w14:textOutline w14:w="0" w14:cap="flat" w14:cmpd="sng" w14:algn="ctr">
            <w14:noFill/>
            <w14:prstDash w14:val="solid"/>
            <w14:bevel/>
          </w14:textOutline>
        </w:rPr>
        <w:footnoteReference w:id="6"/>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presentada por los Representantes </w:t>
      </w:r>
      <w:proofErr w:type="spellStart"/>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Maxine</w:t>
      </w:r>
      <w:proofErr w:type="spellEnd"/>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w:t>
      </w:r>
      <w:proofErr w:type="spellStart"/>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Waters</w:t>
      </w:r>
      <w:proofErr w:type="spellEnd"/>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(Demócrata- California</w:t>
      </w:r>
      <w:r w:rsidRPr="0081563B">
        <w:rPr>
          <w:rFonts w:ascii="Arial" w:eastAsia="Arial Unicode MS" w:hAnsi="Arial" w:cs="Arial"/>
          <w:color w:val="000000"/>
          <w:sz w:val="24"/>
          <w:szCs w:val="24"/>
          <w:bdr w:val="nil"/>
          <w:lang w:val="en-US" w:eastAsia="es-AR"/>
          <w14:textOutline w14:w="0" w14:cap="flat" w14:cmpd="sng" w14:algn="ctr">
            <w14:noFill/>
            <w14:prstDash w14:val="solid"/>
            <w14:bevel/>
          </w14:textOutline>
        </w:rPr>
        <w:t xml:space="preserve">) y Spencer </w:t>
      </w:r>
      <w:proofErr w:type="spellStart"/>
      <w:r w:rsidRPr="0081563B">
        <w:rPr>
          <w:rFonts w:ascii="Arial" w:eastAsia="Arial Unicode MS" w:hAnsi="Arial" w:cs="Arial"/>
          <w:color w:val="000000"/>
          <w:sz w:val="24"/>
          <w:szCs w:val="24"/>
          <w:bdr w:val="nil"/>
          <w:lang w:val="en-US" w:eastAsia="es-AR"/>
          <w14:textOutline w14:w="0" w14:cap="flat" w14:cmpd="sng" w14:algn="ctr">
            <w14:noFill/>
            <w14:prstDash w14:val="solid"/>
            <w14:bevel/>
          </w14:textOutline>
        </w:rPr>
        <w:t>Bachus</w:t>
      </w:r>
      <w:proofErr w:type="spellEnd"/>
      <w:r w:rsidRPr="0081563B">
        <w:rPr>
          <w:rFonts w:ascii="Arial" w:eastAsia="Arial Unicode MS" w:hAnsi="Arial" w:cs="Arial"/>
          <w:color w:val="000000"/>
          <w:sz w:val="24"/>
          <w:szCs w:val="24"/>
          <w:bdr w:val="nil"/>
          <w:lang w:val="en-US" w:eastAsia="es-AR"/>
          <w14:textOutline w14:w="0" w14:cap="flat" w14:cmpd="sng" w14:algn="ctr">
            <w14:noFill/>
            <w14:prstDash w14:val="solid"/>
            <w14:bevel/>
          </w14:textOutline>
        </w:rPr>
        <w:t xml:space="preserve"> (</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Republicano- Alabama</w:t>
      </w:r>
      <w:r w:rsidRPr="0081563B">
        <w:rPr>
          <w:rFonts w:ascii="Arial" w:eastAsia="Arial Unicode MS" w:hAnsi="Arial" w:cs="Arial"/>
          <w:color w:val="000000"/>
          <w:sz w:val="24"/>
          <w:szCs w:val="24"/>
          <w:bdr w:val="nil"/>
          <w:lang w:eastAsia="es-AR"/>
          <w14:textOutline w14:w="0" w14:cap="flat" w14:cmpd="sng" w14:algn="ctr">
            <w14:noFill/>
            <w14:prstDash w14:val="solid"/>
            <w14:bevel/>
          </w14:textOutline>
        </w:rPr>
        <w:t>)</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en 2009,</w:t>
      </w:r>
      <w:r>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que aún no ha tenido apoyo parlamentario. </w:t>
      </w:r>
      <w:r w:rsidR="00D776F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De haberse aprobado, hub</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ieran impedido que los Fondos Buitre lucraran con la deuda de los </w:t>
      </w:r>
      <w:proofErr w:type="spellStart"/>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pa</w:t>
      </w:r>
      <w:proofErr w:type="spellEnd"/>
      <w:r w:rsidRPr="0081563B">
        <w:rPr>
          <w:rFonts w:ascii="Arial" w:eastAsia="Arial Unicode MS" w:hAnsi="Arial" w:cs="Arial"/>
          <w:color w:val="000000"/>
          <w:sz w:val="24"/>
          <w:szCs w:val="24"/>
          <w:bdr w:val="nil"/>
          <w:lang w:eastAsia="es-AR"/>
          <w14:textOutline w14:w="0" w14:cap="flat" w14:cmpd="sng" w14:algn="ctr">
            <w14:noFill/>
            <w14:prstDash w14:val="solid"/>
            <w14:bevel/>
          </w14:textOutline>
        </w:rPr>
        <w:t>í</w:t>
      </w:r>
      <w:r w:rsidRPr="0081563B">
        <w:rPr>
          <w:rFonts w:ascii="Arial" w:eastAsia="Arial Unicode MS" w:hAnsi="Arial" w:cs="Arial"/>
          <w:color w:val="000000"/>
          <w:sz w:val="24"/>
          <w:szCs w:val="24"/>
          <w:bdr w:val="nil"/>
          <w:lang w:val="pt-PT" w:eastAsia="es-AR"/>
          <w14:textOutline w14:w="0" w14:cap="flat" w14:cmpd="sng" w14:algn="ctr">
            <w14:noFill/>
            <w14:prstDash w14:val="solid"/>
            <w14:bevel/>
          </w14:textOutline>
        </w:rPr>
        <w:t>ses pobre</w:t>
      </w:r>
      <w:r w:rsidR="00F16770">
        <w:rPr>
          <w:rFonts w:ascii="Arial" w:eastAsia="Arial Unicode MS" w:hAnsi="Arial" w:cs="Arial"/>
          <w:color w:val="000000"/>
          <w:sz w:val="24"/>
          <w:szCs w:val="24"/>
          <w:bdr w:val="nil"/>
          <w:lang w:val="pt-PT" w:eastAsia="es-AR"/>
          <w14:textOutline w14:w="0" w14:cap="flat" w14:cmpd="sng" w14:algn="ctr">
            <w14:noFill/>
            <w14:prstDash w14:val="solid"/>
            <w14:bevel/>
          </w14:textOutline>
        </w:rPr>
        <w:t>s</w:t>
      </w:r>
      <w:r w:rsidR="00D776F5">
        <w:rPr>
          <w:rFonts w:ascii="Arial" w:eastAsia="Arial Unicode MS" w:hAnsi="Arial" w:cs="Arial"/>
          <w:color w:val="000000"/>
          <w:sz w:val="24"/>
          <w:szCs w:val="24"/>
          <w:bdr w:val="nil"/>
          <w:lang w:val="pt-PT" w:eastAsia="es-AR"/>
          <w14:textOutline w14:w="0" w14:cap="flat" w14:cmpd="sng" w14:algn="ctr">
            <w14:noFill/>
            <w14:prstDash w14:val="solid"/>
            <w14:bevel/>
          </w14:textOutline>
        </w:rPr>
        <w:t>, ya que</w:t>
      </w:r>
      <w:r w:rsidR="00F16770">
        <w:rPr>
          <w:rFonts w:ascii="Arial" w:eastAsia="Arial Unicode MS" w:hAnsi="Arial" w:cs="Arial"/>
          <w:color w:val="000000"/>
          <w:sz w:val="24"/>
          <w:szCs w:val="24"/>
          <w:bdr w:val="nil"/>
          <w:lang w:val="pt-PT" w:eastAsia="es-AR"/>
          <w14:textOutline w14:w="0" w14:cap="flat" w14:cmpd="sng" w14:algn="ctr">
            <w14:noFill/>
            <w14:prstDash w14:val="solid"/>
            <w14:bevel/>
          </w14:textOutline>
        </w:rPr>
        <w:t>,</w:t>
      </w:r>
      <w:r w:rsidR="00D776F5">
        <w:rPr>
          <w:rFonts w:ascii="Arial" w:eastAsia="Arial Unicode MS" w:hAnsi="Arial" w:cs="Arial"/>
          <w:color w:val="000000"/>
          <w:sz w:val="24"/>
          <w:szCs w:val="24"/>
          <w:bdr w:val="nil"/>
          <w:lang w:val="pt-PT" w:eastAsia="es-AR"/>
          <w14:textOutline w14:w="0" w14:cap="flat" w14:cmpd="sng" w14:algn="ctr">
            <w14:noFill/>
            <w14:prstDash w14:val="solid"/>
            <w14:bevel/>
          </w14:textOutline>
        </w:rPr>
        <w:t xml:space="preserve"> s</w:t>
      </w:r>
      <w:r w:rsidRPr="0081563B">
        <w:rPr>
          <w:rFonts w:ascii="Arial" w:eastAsia="Arial Unicode MS" w:hAnsi="Arial" w:cs="Arial"/>
          <w:color w:val="000000"/>
          <w:sz w:val="24"/>
          <w:szCs w:val="24"/>
          <w:bdr w:val="nil"/>
          <w:lang w:val="pt-PT" w:eastAsia="es-AR"/>
          <w14:textOutline w14:w="0" w14:cap="flat" w14:cmpd="sng" w14:algn="ctr">
            <w14:noFill/>
            <w14:prstDash w14:val="solid"/>
            <w14:bevel/>
          </w14:textOutline>
        </w:rPr>
        <w:t>eg</w:t>
      </w:r>
      <w:r w:rsidRPr="0081563B">
        <w:rPr>
          <w:rFonts w:ascii="Arial" w:eastAsia="Arial Unicode MS" w:hAnsi="Arial" w:cs="Arial"/>
          <w:color w:val="000000"/>
          <w:sz w:val="24"/>
          <w:szCs w:val="24"/>
          <w:bdr w:val="nil"/>
          <w:lang w:eastAsia="es-AR"/>
          <w14:textOutline w14:w="0" w14:cap="flat" w14:cmpd="sng" w14:algn="ctr">
            <w14:noFill/>
            <w14:prstDash w14:val="solid"/>
            <w14:bevel/>
          </w14:textOutline>
        </w:rPr>
        <w:t>ú</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 </w:t>
      </w:r>
      <w:r w:rsidR="00D776F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dicho proyecto de ley</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los Fondos Buitre </w:t>
      </w:r>
      <w:r w:rsidR="00D776F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no hubiesen podido </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obtener m</w:t>
      </w:r>
      <w:r w:rsidRPr="0081563B">
        <w:rPr>
          <w:rFonts w:ascii="Arial" w:eastAsia="Arial Unicode MS" w:hAnsi="Arial" w:cs="Arial"/>
          <w:color w:val="000000"/>
          <w:sz w:val="24"/>
          <w:szCs w:val="24"/>
          <w:bdr w:val="nil"/>
          <w:lang w:eastAsia="es-AR"/>
          <w14:textOutline w14:w="0" w14:cap="flat" w14:cmpd="sng" w14:algn="ctr">
            <w14:noFill/>
            <w14:prstDash w14:val="solid"/>
            <w14:bevel/>
          </w14:textOutline>
        </w:rPr>
        <w:t>á</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s </w:t>
      </w:r>
      <w:r w:rsidR="00D776F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que el </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mo</w:t>
      </w:r>
      <w:r w:rsidR="00D776F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nto invertido al comprar</w:t>
      </w:r>
      <w:r w:rsidRPr="0081563B">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 la deuda, </w:t>
      </w:r>
      <w:r w:rsidR="00D776F5">
        <w:rPr>
          <w:rFonts w:ascii="Arial" w:eastAsia="Arial Unicode MS" w:hAnsi="Arial" w:cs="Arial"/>
          <w:color w:val="000000"/>
          <w:sz w:val="24"/>
          <w:szCs w:val="24"/>
          <w:bdr w:val="nil"/>
          <w:lang w:val="es-ES_tradnl" w:eastAsia="es-AR"/>
          <w14:textOutline w14:w="0" w14:cap="flat" w14:cmpd="sng" w14:algn="ctr">
            <w14:noFill/>
            <w14:prstDash w14:val="solid"/>
            <w14:bevel/>
          </w14:textOutline>
        </w:rPr>
        <w:t xml:space="preserve">más un interés que no podría haber sido superior al 6% anual. </w:t>
      </w:r>
    </w:p>
    <w:p w14:paraId="6191EFA9" w14:textId="77777777" w:rsidR="00D776F5" w:rsidRPr="0081563B" w:rsidRDefault="00D776F5" w:rsidP="0081563B">
      <w:pPr>
        <w:shd w:val="clear" w:color="auto" w:fill="FFFFFF"/>
        <w:spacing w:after="0" w:line="240" w:lineRule="auto"/>
        <w:jc w:val="both"/>
        <w:textAlignment w:val="bottom"/>
        <w:rPr>
          <w:rFonts w:ascii="Arial" w:eastAsia="Arial Unicode MS" w:hAnsi="Arial" w:cs="Arial"/>
          <w:color w:val="000000"/>
          <w:sz w:val="24"/>
          <w:szCs w:val="24"/>
          <w:bdr w:val="nil"/>
          <w:lang w:eastAsia="es-AR"/>
          <w14:textOutline w14:w="0" w14:cap="flat" w14:cmpd="sng" w14:algn="ctr">
            <w14:noFill/>
            <w14:prstDash w14:val="solid"/>
            <w14:bevel/>
          </w14:textOutline>
        </w:rPr>
      </w:pPr>
    </w:p>
    <w:p w14:paraId="7826DD6E" w14:textId="282C4AB1" w:rsidR="00360DE0" w:rsidRDefault="00F16770" w:rsidP="00F75941">
      <w:pPr>
        <w:shd w:val="clear" w:color="auto" w:fill="FFFFFF"/>
        <w:spacing w:after="0" w:line="240" w:lineRule="auto"/>
        <w:jc w:val="both"/>
        <w:textAlignment w:val="bottom"/>
        <w:rPr>
          <w:rFonts w:ascii="Arial" w:hAnsi="Arial" w:cs="Arial"/>
          <w:sz w:val="24"/>
          <w:szCs w:val="24"/>
        </w:rPr>
      </w:pPr>
      <w:r>
        <w:rPr>
          <w:rFonts w:ascii="Arial" w:hAnsi="Arial" w:cs="Arial"/>
          <w:sz w:val="24"/>
          <w:szCs w:val="24"/>
        </w:rPr>
        <w:t>Señora Vicepresidenta, c</w:t>
      </w:r>
      <w:r w:rsidR="00CF7712">
        <w:rPr>
          <w:rFonts w:ascii="Arial" w:hAnsi="Arial" w:cs="Arial"/>
          <w:sz w:val="24"/>
          <w:szCs w:val="24"/>
        </w:rPr>
        <w:t>omo Ud</w:t>
      </w:r>
      <w:r w:rsidR="003F21E6">
        <w:rPr>
          <w:rFonts w:ascii="Arial" w:hAnsi="Arial" w:cs="Arial"/>
          <w:sz w:val="24"/>
          <w:szCs w:val="24"/>
        </w:rPr>
        <w:t>.</w:t>
      </w:r>
      <w:r w:rsidR="00CF7712">
        <w:rPr>
          <w:rFonts w:ascii="Arial" w:hAnsi="Arial" w:cs="Arial"/>
          <w:sz w:val="24"/>
          <w:szCs w:val="24"/>
        </w:rPr>
        <w:t xml:space="preserve"> conoce sobradamente</w:t>
      </w:r>
      <w:r w:rsidR="003F21E6">
        <w:rPr>
          <w:rFonts w:ascii="Arial" w:hAnsi="Arial" w:cs="Arial"/>
          <w:sz w:val="24"/>
          <w:szCs w:val="24"/>
        </w:rPr>
        <w:t xml:space="preserve"> por su experiencia directa como Presidenta de la Nación</w:t>
      </w:r>
      <w:r w:rsidR="00CF7712">
        <w:rPr>
          <w:rFonts w:ascii="Arial" w:hAnsi="Arial" w:cs="Arial"/>
          <w:sz w:val="24"/>
          <w:szCs w:val="24"/>
        </w:rPr>
        <w:t>, n</w:t>
      </w:r>
      <w:r w:rsidR="004A5672">
        <w:rPr>
          <w:rFonts w:ascii="Arial" w:hAnsi="Arial" w:cs="Arial"/>
          <w:sz w:val="24"/>
          <w:szCs w:val="24"/>
        </w:rPr>
        <w:t>uestro país tiene una larga experiencia al respecto</w:t>
      </w:r>
      <w:r w:rsidR="00CF7712">
        <w:rPr>
          <w:rFonts w:ascii="Arial" w:hAnsi="Arial" w:cs="Arial"/>
          <w:sz w:val="24"/>
          <w:szCs w:val="24"/>
        </w:rPr>
        <w:t>, que vamos a repasar sintéticamente</w:t>
      </w:r>
      <w:r w:rsidR="0067640A">
        <w:rPr>
          <w:rFonts w:ascii="Arial" w:hAnsi="Arial" w:cs="Arial"/>
          <w:sz w:val="24"/>
          <w:szCs w:val="24"/>
        </w:rPr>
        <w:t>, c</w:t>
      </w:r>
      <w:r w:rsidR="00E367C9">
        <w:rPr>
          <w:rFonts w:ascii="Arial" w:hAnsi="Arial" w:cs="Arial"/>
          <w:sz w:val="24"/>
          <w:szCs w:val="24"/>
        </w:rPr>
        <w:t>onsiderando</w:t>
      </w:r>
      <w:r w:rsidR="00CD0F28">
        <w:rPr>
          <w:rFonts w:ascii="Arial" w:hAnsi="Arial" w:cs="Arial"/>
          <w:sz w:val="24"/>
          <w:szCs w:val="24"/>
        </w:rPr>
        <w:t xml:space="preserve"> lo acontecido con</w:t>
      </w:r>
      <w:r w:rsidR="00E367C9">
        <w:rPr>
          <w:rFonts w:ascii="Arial" w:hAnsi="Arial" w:cs="Arial"/>
          <w:sz w:val="24"/>
          <w:szCs w:val="24"/>
        </w:rPr>
        <w:t xml:space="preserve"> la deuda en moneda extranjera con los acreedores privados</w:t>
      </w:r>
      <w:r w:rsidR="0067640A">
        <w:rPr>
          <w:rFonts w:ascii="Arial" w:hAnsi="Arial" w:cs="Arial"/>
          <w:sz w:val="24"/>
          <w:szCs w:val="24"/>
        </w:rPr>
        <w:t xml:space="preserve">. </w:t>
      </w:r>
    </w:p>
    <w:p w14:paraId="3DF7E3F0" w14:textId="77777777" w:rsidR="00360DE0" w:rsidRDefault="00360DE0" w:rsidP="00F75941">
      <w:pPr>
        <w:shd w:val="clear" w:color="auto" w:fill="FFFFFF"/>
        <w:spacing w:after="0" w:line="240" w:lineRule="auto"/>
        <w:jc w:val="both"/>
        <w:textAlignment w:val="bottom"/>
        <w:rPr>
          <w:rFonts w:ascii="Arial" w:hAnsi="Arial" w:cs="Arial"/>
          <w:sz w:val="24"/>
          <w:szCs w:val="24"/>
        </w:rPr>
      </w:pPr>
    </w:p>
    <w:p w14:paraId="0DE43298" w14:textId="18283D83" w:rsidR="00CF7712" w:rsidRDefault="0067640A" w:rsidP="00F75941">
      <w:pPr>
        <w:shd w:val="clear" w:color="auto" w:fill="FFFFFF"/>
        <w:spacing w:after="0" w:line="240" w:lineRule="auto"/>
        <w:jc w:val="both"/>
        <w:textAlignment w:val="bottom"/>
        <w:rPr>
          <w:rFonts w:ascii="Arial" w:hAnsi="Arial" w:cs="Arial"/>
          <w:sz w:val="24"/>
          <w:szCs w:val="24"/>
        </w:rPr>
      </w:pPr>
      <w:r>
        <w:rPr>
          <w:rFonts w:ascii="Arial" w:hAnsi="Arial" w:cs="Arial"/>
          <w:sz w:val="24"/>
          <w:szCs w:val="24"/>
        </w:rPr>
        <w:t>D</w:t>
      </w:r>
      <w:r w:rsidR="00E367C9">
        <w:rPr>
          <w:rFonts w:ascii="Arial" w:hAnsi="Arial" w:cs="Arial"/>
          <w:sz w:val="24"/>
          <w:szCs w:val="24"/>
        </w:rPr>
        <w:t>espués de la cesación de pagos de fines de 2001, el país realizó una exitosa reestructuración de dicha deuda</w:t>
      </w:r>
      <w:r w:rsidR="003F21E6">
        <w:rPr>
          <w:rFonts w:ascii="Arial" w:hAnsi="Arial" w:cs="Arial"/>
          <w:sz w:val="24"/>
          <w:szCs w:val="24"/>
        </w:rPr>
        <w:t>, que reconoce como hitos principales los siguientes:</w:t>
      </w:r>
    </w:p>
    <w:p w14:paraId="3C591579" w14:textId="40999FDE" w:rsidR="00E367C9" w:rsidRDefault="00E367C9" w:rsidP="00F75941">
      <w:pPr>
        <w:shd w:val="clear" w:color="auto" w:fill="FFFFFF"/>
        <w:spacing w:after="0" w:line="240" w:lineRule="auto"/>
        <w:jc w:val="both"/>
        <w:textAlignment w:val="bottom"/>
        <w:rPr>
          <w:rFonts w:ascii="Arial" w:hAnsi="Arial" w:cs="Arial"/>
          <w:sz w:val="24"/>
          <w:szCs w:val="24"/>
        </w:rPr>
      </w:pPr>
    </w:p>
    <w:p w14:paraId="6096EA7A" w14:textId="1EAF95E3" w:rsidR="00E367C9" w:rsidRPr="003F21E6" w:rsidRDefault="00E367C9" w:rsidP="003F21E6">
      <w:pPr>
        <w:pStyle w:val="Prrafodelista"/>
        <w:numPr>
          <w:ilvl w:val="0"/>
          <w:numId w:val="5"/>
        </w:numPr>
        <w:shd w:val="clear" w:color="auto" w:fill="FFFFFF"/>
        <w:spacing w:after="0" w:line="240" w:lineRule="auto"/>
        <w:jc w:val="both"/>
        <w:textAlignment w:val="bottom"/>
        <w:rPr>
          <w:rFonts w:ascii="Arial" w:hAnsi="Arial" w:cs="Arial"/>
          <w:sz w:val="24"/>
          <w:szCs w:val="24"/>
        </w:rPr>
      </w:pPr>
      <w:r w:rsidRPr="003F21E6">
        <w:rPr>
          <w:rFonts w:ascii="Arial" w:hAnsi="Arial" w:cs="Arial"/>
          <w:sz w:val="24"/>
          <w:szCs w:val="24"/>
        </w:rPr>
        <w:t>En marzo de 2005 se presentó la propuesta que fue aceptada por el 76% de los acreedores</w:t>
      </w:r>
      <w:r w:rsidR="00360DE0">
        <w:rPr>
          <w:rFonts w:ascii="Arial" w:hAnsi="Arial" w:cs="Arial"/>
          <w:sz w:val="24"/>
          <w:szCs w:val="24"/>
        </w:rPr>
        <w:t xml:space="preserve"> con una quita de deuda de más del 67% del capital.</w:t>
      </w:r>
    </w:p>
    <w:p w14:paraId="651B6180" w14:textId="66785359" w:rsidR="00E367C9" w:rsidRDefault="00E367C9" w:rsidP="00F75941">
      <w:pPr>
        <w:shd w:val="clear" w:color="auto" w:fill="FFFFFF"/>
        <w:spacing w:after="0" w:line="240" w:lineRule="auto"/>
        <w:jc w:val="both"/>
        <w:textAlignment w:val="bottom"/>
        <w:rPr>
          <w:rFonts w:ascii="Arial" w:hAnsi="Arial" w:cs="Arial"/>
          <w:sz w:val="24"/>
          <w:szCs w:val="24"/>
        </w:rPr>
      </w:pPr>
    </w:p>
    <w:p w14:paraId="31227418" w14:textId="5060EE01" w:rsidR="00E367C9" w:rsidRPr="003F21E6" w:rsidRDefault="00E367C9" w:rsidP="003F21E6">
      <w:pPr>
        <w:pStyle w:val="Prrafodelista"/>
        <w:numPr>
          <w:ilvl w:val="0"/>
          <w:numId w:val="5"/>
        </w:numPr>
        <w:shd w:val="clear" w:color="auto" w:fill="FFFFFF"/>
        <w:spacing w:after="0" w:line="240" w:lineRule="auto"/>
        <w:jc w:val="both"/>
        <w:textAlignment w:val="bottom"/>
        <w:rPr>
          <w:rFonts w:ascii="Arial" w:hAnsi="Arial" w:cs="Arial"/>
          <w:sz w:val="24"/>
          <w:szCs w:val="24"/>
        </w:rPr>
      </w:pPr>
      <w:r w:rsidRPr="003F21E6">
        <w:rPr>
          <w:rFonts w:ascii="Arial" w:hAnsi="Arial" w:cs="Arial"/>
          <w:sz w:val="24"/>
          <w:szCs w:val="24"/>
        </w:rPr>
        <w:t>En mayo de 2010 se reabrió el canje de la deuda. El porcentaje de aprobación de la propuesta de canje se elevó al 92</w:t>
      </w:r>
      <w:r w:rsidR="00360DE0">
        <w:rPr>
          <w:rFonts w:ascii="Arial" w:hAnsi="Arial" w:cs="Arial"/>
          <w:sz w:val="24"/>
          <w:szCs w:val="24"/>
        </w:rPr>
        <w:t>,4</w:t>
      </w:r>
      <w:r w:rsidRPr="003F21E6">
        <w:rPr>
          <w:rFonts w:ascii="Arial" w:hAnsi="Arial" w:cs="Arial"/>
          <w:sz w:val="24"/>
          <w:szCs w:val="24"/>
        </w:rPr>
        <w:t>%.</w:t>
      </w:r>
    </w:p>
    <w:p w14:paraId="5F07E18A" w14:textId="4C646651" w:rsidR="00E367C9" w:rsidRDefault="00E367C9" w:rsidP="00F75941">
      <w:pPr>
        <w:shd w:val="clear" w:color="auto" w:fill="FFFFFF"/>
        <w:spacing w:after="0" w:line="240" w:lineRule="auto"/>
        <w:jc w:val="both"/>
        <w:textAlignment w:val="bottom"/>
        <w:rPr>
          <w:rFonts w:ascii="Arial" w:hAnsi="Arial" w:cs="Arial"/>
          <w:sz w:val="24"/>
          <w:szCs w:val="24"/>
        </w:rPr>
      </w:pPr>
    </w:p>
    <w:p w14:paraId="42B5FC94" w14:textId="36EA05AC" w:rsidR="00E367C9" w:rsidRPr="003F21E6" w:rsidRDefault="00E367C9" w:rsidP="003F21E6">
      <w:pPr>
        <w:pStyle w:val="Prrafodelista"/>
        <w:numPr>
          <w:ilvl w:val="0"/>
          <w:numId w:val="5"/>
        </w:numPr>
        <w:shd w:val="clear" w:color="auto" w:fill="FFFFFF"/>
        <w:spacing w:after="0" w:line="240" w:lineRule="auto"/>
        <w:jc w:val="both"/>
        <w:textAlignment w:val="bottom"/>
        <w:rPr>
          <w:rFonts w:ascii="Arial" w:hAnsi="Arial" w:cs="Arial"/>
          <w:sz w:val="24"/>
          <w:szCs w:val="24"/>
        </w:rPr>
      </w:pPr>
      <w:r w:rsidRPr="003F21E6">
        <w:rPr>
          <w:rFonts w:ascii="Arial" w:hAnsi="Arial" w:cs="Arial"/>
          <w:sz w:val="24"/>
          <w:szCs w:val="24"/>
        </w:rPr>
        <w:t xml:space="preserve">En 2008 un grupo de fondos financieros especulativos </w:t>
      </w:r>
      <w:r w:rsidR="005F7A26" w:rsidRPr="003F21E6">
        <w:rPr>
          <w:rFonts w:ascii="Arial" w:hAnsi="Arial" w:cs="Arial"/>
          <w:sz w:val="24"/>
          <w:szCs w:val="24"/>
        </w:rPr>
        <w:t>(NML</w:t>
      </w:r>
      <w:r w:rsidR="0083136E">
        <w:rPr>
          <w:rFonts w:ascii="Arial" w:hAnsi="Arial" w:cs="Arial"/>
          <w:sz w:val="24"/>
          <w:szCs w:val="24"/>
        </w:rPr>
        <w:t xml:space="preserve"> </w:t>
      </w:r>
      <w:proofErr w:type="spellStart"/>
      <w:r w:rsidR="0083136E">
        <w:rPr>
          <w:rFonts w:ascii="Arial" w:hAnsi="Arial" w:cs="Arial"/>
          <w:sz w:val="24"/>
          <w:szCs w:val="24"/>
        </w:rPr>
        <w:t>Elliot</w:t>
      </w:r>
      <w:proofErr w:type="spellEnd"/>
      <w:r w:rsidR="005F7A26" w:rsidRPr="003F21E6">
        <w:rPr>
          <w:rFonts w:ascii="Arial" w:hAnsi="Arial" w:cs="Arial"/>
          <w:sz w:val="24"/>
          <w:szCs w:val="24"/>
        </w:rPr>
        <w:t xml:space="preserve">, Blue </w:t>
      </w:r>
      <w:proofErr w:type="spellStart"/>
      <w:r w:rsidR="005F7A26" w:rsidRPr="003F21E6">
        <w:rPr>
          <w:rFonts w:ascii="Arial" w:hAnsi="Arial" w:cs="Arial"/>
          <w:sz w:val="24"/>
          <w:szCs w:val="24"/>
        </w:rPr>
        <w:t>Angel</w:t>
      </w:r>
      <w:proofErr w:type="spellEnd"/>
      <w:r w:rsidR="005F7A26" w:rsidRPr="003F21E6">
        <w:rPr>
          <w:rFonts w:ascii="Arial" w:hAnsi="Arial" w:cs="Arial"/>
          <w:sz w:val="24"/>
          <w:szCs w:val="24"/>
        </w:rPr>
        <w:t xml:space="preserve">, </w:t>
      </w:r>
      <w:proofErr w:type="spellStart"/>
      <w:r w:rsidR="005F7A26" w:rsidRPr="003F21E6">
        <w:rPr>
          <w:rFonts w:ascii="Arial" w:hAnsi="Arial" w:cs="Arial"/>
          <w:sz w:val="24"/>
          <w:szCs w:val="24"/>
        </w:rPr>
        <w:t>Aurelius</w:t>
      </w:r>
      <w:proofErr w:type="spellEnd"/>
      <w:r w:rsidR="005F7A26" w:rsidRPr="003F21E6">
        <w:rPr>
          <w:rFonts w:ascii="Arial" w:hAnsi="Arial" w:cs="Arial"/>
          <w:sz w:val="24"/>
          <w:szCs w:val="24"/>
        </w:rPr>
        <w:t xml:space="preserve">, entre otros), </w:t>
      </w:r>
      <w:r w:rsidRPr="003F21E6">
        <w:rPr>
          <w:rFonts w:ascii="Arial" w:hAnsi="Arial" w:cs="Arial"/>
          <w:sz w:val="24"/>
          <w:szCs w:val="24"/>
        </w:rPr>
        <w:t xml:space="preserve">compró parte de la deuda que no </w:t>
      </w:r>
      <w:r w:rsidR="0067640A" w:rsidRPr="003F21E6">
        <w:rPr>
          <w:rFonts w:ascii="Arial" w:hAnsi="Arial" w:cs="Arial"/>
          <w:sz w:val="24"/>
          <w:szCs w:val="24"/>
        </w:rPr>
        <w:t>había entrado en el canje</w:t>
      </w:r>
      <w:r w:rsidR="005F7A26" w:rsidRPr="003F21E6">
        <w:rPr>
          <w:rFonts w:ascii="Arial" w:hAnsi="Arial" w:cs="Arial"/>
          <w:sz w:val="24"/>
          <w:szCs w:val="24"/>
        </w:rPr>
        <w:t>,</w:t>
      </w:r>
      <w:r w:rsidR="0067640A" w:rsidRPr="003F21E6">
        <w:rPr>
          <w:rFonts w:ascii="Arial" w:hAnsi="Arial" w:cs="Arial"/>
          <w:sz w:val="24"/>
          <w:szCs w:val="24"/>
        </w:rPr>
        <w:t xml:space="preserve"> destinando a este fin la suma de </w:t>
      </w:r>
      <w:r w:rsidR="005F7A26" w:rsidRPr="003F21E6">
        <w:rPr>
          <w:rFonts w:ascii="Arial" w:hAnsi="Arial" w:cs="Arial"/>
          <w:sz w:val="24"/>
          <w:szCs w:val="24"/>
        </w:rPr>
        <w:t xml:space="preserve">428 millones de dólares, se presentaron posteriormente ante un Juzgado de Nueva York, el del juez </w:t>
      </w:r>
      <w:proofErr w:type="spellStart"/>
      <w:r w:rsidR="005F7A26" w:rsidRPr="003F21E6">
        <w:rPr>
          <w:rFonts w:ascii="Arial" w:hAnsi="Arial" w:cs="Arial"/>
          <w:sz w:val="24"/>
          <w:szCs w:val="24"/>
        </w:rPr>
        <w:t>Griesa</w:t>
      </w:r>
      <w:proofErr w:type="spellEnd"/>
      <w:r w:rsidR="005F7A26" w:rsidRPr="003F21E6">
        <w:rPr>
          <w:rFonts w:ascii="Arial" w:hAnsi="Arial" w:cs="Arial"/>
          <w:sz w:val="24"/>
          <w:szCs w:val="24"/>
        </w:rPr>
        <w:t xml:space="preserve">, y reclamaron contra el país. </w:t>
      </w:r>
    </w:p>
    <w:p w14:paraId="4724B713" w14:textId="66903755" w:rsidR="005F7A26" w:rsidRDefault="005F7A26" w:rsidP="00F75941">
      <w:pPr>
        <w:shd w:val="clear" w:color="auto" w:fill="FFFFFF"/>
        <w:spacing w:after="0" w:line="240" w:lineRule="auto"/>
        <w:jc w:val="both"/>
        <w:textAlignment w:val="bottom"/>
        <w:rPr>
          <w:rFonts w:ascii="Arial" w:hAnsi="Arial" w:cs="Arial"/>
          <w:sz w:val="24"/>
          <w:szCs w:val="24"/>
        </w:rPr>
      </w:pPr>
    </w:p>
    <w:p w14:paraId="45A79324" w14:textId="6CF18DF2" w:rsidR="005F7A26" w:rsidRDefault="005F7A26" w:rsidP="003F21E6">
      <w:pPr>
        <w:pStyle w:val="Prrafodelista"/>
        <w:numPr>
          <w:ilvl w:val="0"/>
          <w:numId w:val="5"/>
        </w:numPr>
        <w:shd w:val="clear" w:color="auto" w:fill="FFFFFF"/>
        <w:spacing w:after="0" w:line="240" w:lineRule="auto"/>
        <w:jc w:val="both"/>
        <w:textAlignment w:val="bottom"/>
        <w:rPr>
          <w:rFonts w:ascii="Arial" w:hAnsi="Arial" w:cs="Arial"/>
          <w:sz w:val="24"/>
          <w:szCs w:val="24"/>
        </w:rPr>
      </w:pPr>
      <w:r w:rsidRPr="003F21E6">
        <w:rPr>
          <w:rFonts w:ascii="Arial" w:hAnsi="Arial" w:cs="Arial"/>
          <w:sz w:val="24"/>
          <w:szCs w:val="24"/>
        </w:rPr>
        <w:t xml:space="preserve">En 2014 se conoció el fallo del mencionado juez que  les reconocía como válida una suma a cobrar a la Argentina de </w:t>
      </w:r>
      <w:r w:rsidR="00CD0F28">
        <w:rPr>
          <w:rFonts w:ascii="Arial" w:hAnsi="Arial" w:cs="Arial"/>
          <w:sz w:val="24"/>
          <w:szCs w:val="24"/>
        </w:rPr>
        <w:t xml:space="preserve">aproximadamente </w:t>
      </w:r>
      <w:r w:rsidRPr="003F21E6">
        <w:rPr>
          <w:rFonts w:ascii="Arial" w:hAnsi="Arial" w:cs="Arial"/>
          <w:sz w:val="24"/>
          <w:szCs w:val="24"/>
        </w:rPr>
        <w:t>1.500 millones de dólares</w:t>
      </w:r>
      <w:r w:rsidR="00E42133" w:rsidRPr="003F21E6">
        <w:rPr>
          <w:rFonts w:ascii="Arial" w:hAnsi="Arial" w:cs="Arial"/>
          <w:sz w:val="24"/>
          <w:szCs w:val="24"/>
        </w:rPr>
        <w:t>, incluyendo capital, intereses y punitorios.</w:t>
      </w:r>
    </w:p>
    <w:p w14:paraId="2408EEF0" w14:textId="77777777" w:rsidR="003F21E6" w:rsidRPr="003F21E6" w:rsidRDefault="003F21E6" w:rsidP="003F21E6">
      <w:pPr>
        <w:pStyle w:val="Prrafodelista"/>
        <w:rPr>
          <w:rFonts w:ascii="Arial" w:hAnsi="Arial" w:cs="Arial"/>
          <w:sz w:val="24"/>
          <w:szCs w:val="24"/>
        </w:rPr>
      </w:pPr>
    </w:p>
    <w:p w14:paraId="695CFBB3" w14:textId="09DF71F5" w:rsidR="0083136E" w:rsidRPr="002462D5" w:rsidRDefault="002462D5" w:rsidP="002462D5">
      <w:pPr>
        <w:spacing w:after="120" w:line="288" w:lineRule="auto"/>
        <w:jc w:val="both"/>
        <w:rPr>
          <w:rFonts w:ascii="Arial" w:hAnsi="Arial" w:cs="Arial"/>
          <w:sz w:val="24"/>
          <w:szCs w:val="24"/>
        </w:rPr>
      </w:pPr>
      <w:r w:rsidRPr="002462D5">
        <w:rPr>
          <w:rFonts w:ascii="Arial" w:hAnsi="Arial" w:cs="Arial"/>
          <w:sz w:val="24"/>
          <w:szCs w:val="24"/>
        </w:rPr>
        <w:t xml:space="preserve">El país, bajo su Presidencia, realizó incontables acciones y descargos, participó de innumerables audiencias ante el </w:t>
      </w:r>
      <w:r w:rsidR="004A2CD6" w:rsidRPr="002462D5">
        <w:rPr>
          <w:rFonts w:ascii="Arial" w:hAnsi="Arial" w:cs="Arial"/>
          <w:sz w:val="24"/>
          <w:szCs w:val="24"/>
        </w:rPr>
        <w:t>Juzgado</w:t>
      </w:r>
      <w:r w:rsidRPr="002462D5">
        <w:rPr>
          <w:rFonts w:ascii="Arial" w:hAnsi="Arial" w:cs="Arial"/>
          <w:sz w:val="24"/>
          <w:szCs w:val="24"/>
        </w:rPr>
        <w:t xml:space="preserve"> de </w:t>
      </w:r>
      <w:proofErr w:type="spellStart"/>
      <w:r w:rsidRPr="002462D5">
        <w:rPr>
          <w:rFonts w:ascii="Arial" w:hAnsi="Arial" w:cs="Arial"/>
          <w:sz w:val="24"/>
          <w:szCs w:val="24"/>
        </w:rPr>
        <w:t>Griesa</w:t>
      </w:r>
      <w:proofErr w:type="spellEnd"/>
      <w:r w:rsidRPr="002462D5">
        <w:rPr>
          <w:rFonts w:ascii="Arial" w:hAnsi="Arial" w:cs="Arial"/>
          <w:sz w:val="24"/>
          <w:szCs w:val="24"/>
        </w:rPr>
        <w:t>, y también apeló ante la Cámar</w:t>
      </w:r>
      <w:r w:rsidR="004A2CD6">
        <w:rPr>
          <w:rFonts w:ascii="Arial" w:hAnsi="Arial" w:cs="Arial"/>
          <w:sz w:val="24"/>
          <w:szCs w:val="24"/>
        </w:rPr>
        <w:t>a correspondiente y</w:t>
      </w:r>
      <w:r w:rsidRPr="002462D5">
        <w:rPr>
          <w:rFonts w:ascii="Arial" w:hAnsi="Arial" w:cs="Arial"/>
          <w:sz w:val="24"/>
          <w:szCs w:val="24"/>
        </w:rPr>
        <w:t xml:space="preserve"> ante la Corte Suprema de los EEUU. Todas estas instancias fallaron en contra de la Argentina</w:t>
      </w:r>
      <w:r w:rsidR="004A2CD6">
        <w:rPr>
          <w:rFonts w:ascii="Arial" w:hAnsi="Arial" w:cs="Arial"/>
          <w:sz w:val="24"/>
          <w:szCs w:val="24"/>
        </w:rPr>
        <w:t>.</w:t>
      </w:r>
    </w:p>
    <w:p w14:paraId="2F30E11D" w14:textId="0E23F7C5" w:rsidR="0083136E" w:rsidRDefault="0083136E" w:rsidP="0083136E">
      <w:pPr>
        <w:spacing w:after="120" w:line="288" w:lineRule="auto"/>
        <w:jc w:val="both"/>
        <w:rPr>
          <w:rFonts w:ascii="Arial" w:hAnsi="Arial" w:cs="Arial"/>
          <w:sz w:val="24"/>
          <w:szCs w:val="24"/>
        </w:rPr>
      </w:pPr>
      <w:r w:rsidRPr="002462D5">
        <w:rPr>
          <w:rFonts w:ascii="Arial" w:hAnsi="Arial" w:cs="Arial"/>
          <w:sz w:val="24"/>
          <w:szCs w:val="24"/>
        </w:rPr>
        <w:t xml:space="preserve">Para presionar aún más al gobierno argentino para que acate el fallo, </w:t>
      </w:r>
      <w:proofErr w:type="spellStart"/>
      <w:r w:rsidRPr="002462D5">
        <w:rPr>
          <w:rFonts w:ascii="Arial" w:hAnsi="Arial" w:cs="Arial"/>
          <w:sz w:val="24"/>
          <w:szCs w:val="24"/>
        </w:rPr>
        <w:t>Griesa</w:t>
      </w:r>
      <w:proofErr w:type="spellEnd"/>
      <w:r w:rsidRPr="002462D5">
        <w:rPr>
          <w:rFonts w:ascii="Arial" w:hAnsi="Arial" w:cs="Arial"/>
          <w:sz w:val="24"/>
          <w:szCs w:val="24"/>
        </w:rPr>
        <w:t xml:space="preserve"> impuso un </w:t>
      </w:r>
      <w:proofErr w:type="spellStart"/>
      <w:r w:rsidRPr="002462D5">
        <w:rPr>
          <w:rFonts w:ascii="Arial" w:hAnsi="Arial" w:cs="Arial"/>
          <w:i/>
          <w:sz w:val="24"/>
          <w:szCs w:val="24"/>
        </w:rPr>
        <w:t>stay</w:t>
      </w:r>
      <w:proofErr w:type="spellEnd"/>
      <w:r w:rsidRPr="002462D5">
        <w:rPr>
          <w:rFonts w:ascii="Arial" w:hAnsi="Arial" w:cs="Arial"/>
          <w:sz w:val="24"/>
          <w:szCs w:val="24"/>
        </w:rPr>
        <w:t xml:space="preserve"> </w:t>
      </w:r>
      <w:r w:rsidR="00CD0F28">
        <w:rPr>
          <w:rFonts w:ascii="Arial" w:hAnsi="Arial" w:cs="Arial"/>
          <w:sz w:val="24"/>
          <w:szCs w:val="24"/>
        </w:rPr>
        <w:t xml:space="preserve">(impedimento) </w:t>
      </w:r>
      <w:r w:rsidRPr="002462D5">
        <w:rPr>
          <w:rFonts w:ascii="Arial" w:hAnsi="Arial" w:cs="Arial"/>
          <w:sz w:val="24"/>
          <w:szCs w:val="24"/>
        </w:rPr>
        <w:t xml:space="preserve">sobre los pagos a los acreedores que habían aceptado el canje, bloqueándolos. En este contexto, la decisión de Argentina fue la de depositar el pago correspondiente a los acreedores de los canjes, </w:t>
      </w:r>
      <w:r w:rsidRPr="002462D5">
        <w:rPr>
          <w:rFonts w:ascii="Arial" w:hAnsi="Arial" w:cs="Arial"/>
          <w:sz w:val="24"/>
          <w:szCs w:val="24"/>
        </w:rPr>
        <w:lastRenderedPageBreak/>
        <w:t xml:space="preserve">desestimando la orden del juez </w:t>
      </w:r>
      <w:proofErr w:type="spellStart"/>
      <w:r w:rsidRPr="002462D5">
        <w:rPr>
          <w:rFonts w:ascii="Arial" w:hAnsi="Arial" w:cs="Arial"/>
          <w:sz w:val="24"/>
          <w:szCs w:val="24"/>
        </w:rPr>
        <w:t>Griesa</w:t>
      </w:r>
      <w:proofErr w:type="spellEnd"/>
      <w:r w:rsidRPr="002462D5">
        <w:rPr>
          <w:rFonts w:ascii="Arial" w:hAnsi="Arial" w:cs="Arial"/>
          <w:sz w:val="24"/>
          <w:szCs w:val="24"/>
        </w:rPr>
        <w:t xml:space="preserve">. El país efectuó los distintos pagos correspondientes a cada vencimiento, pero el Bank of New York </w:t>
      </w:r>
      <w:proofErr w:type="spellStart"/>
      <w:r w:rsidRPr="002462D5">
        <w:rPr>
          <w:rFonts w:ascii="Arial" w:hAnsi="Arial" w:cs="Arial"/>
          <w:sz w:val="24"/>
          <w:szCs w:val="24"/>
        </w:rPr>
        <w:t>Mellon</w:t>
      </w:r>
      <w:proofErr w:type="spellEnd"/>
      <w:r w:rsidRPr="002462D5">
        <w:rPr>
          <w:rFonts w:ascii="Arial" w:hAnsi="Arial" w:cs="Arial"/>
          <w:sz w:val="24"/>
          <w:szCs w:val="24"/>
        </w:rPr>
        <w:t xml:space="preserve"> (</w:t>
      </w:r>
      <w:proofErr w:type="spellStart"/>
      <w:r w:rsidRPr="002462D5">
        <w:rPr>
          <w:rFonts w:ascii="Arial" w:hAnsi="Arial" w:cs="Arial"/>
          <w:sz w:val="24"/>
          <w:szCs w:val="24"/>
        </w:rPr>
        <w:t>BoNY</w:t>
      </w:r>
      <w:proofErr w:type="spellEnd"/>
      <w:r w:rsidRPr="002462D5">
        <w:rPr>
          <w:rFonts w:ascii="Arial" w:hAnsi="Arial" w:cs="Arial"/>
          <w:sz w:val="24"/>
          <w:szCs w:val="24"/>
        </w:rPr>
        <w:t xml:space="preserve">), la entidad fiduciaria designada, se negó a distribuir las sumas depositadas a los tenedores de los bonos de los Canjes 2005-2010. Ante la incapacidad del </w:t>
      </w:r>
      <w:proofErr w:type="spellStart"/>
      <w:r w:rsidRPr="002462D5">
        <w:rPr>
          <w:rFonts w:ascii="Arial" w:hAnsi="Arial" w:cs="Arial"/>
          <w:sz w:val="24"/>
          <w:szCs w:val="24"/>
        </w:rPr>
        <w:t>BoNY</w:t>
      </w:r>
      <w:proofErr w:type="spellEnd"/>
      <w:r w:rsidRPr="002462D5">
        <w:rPr>
          <w:rFonts w:ascii="Arial" w:hAnsi="Arial" w:cs="Arial"/>
          <w:sz w:val="24"/>
          <w:szCs w:val="24"/>
        </w:rPr>
        <w:t xml:space="preserve"> de actuar como agente fiduciario, la Argentina sancionó en 2014 una ley para poder continuar pagando sus compromisos de deuda en las mismas condiciones en las que lo venía haciendo, designado a Nación Fideicomisos S.A. en su reemplazo.</w:t>
      </w:r>
    </w:p>
    <w:p w14:paraId="6FBBA6E9" w14:textId="4C394D50" w:rsidR="004A2CD6" w:rsidRDefault="004A2CD6" w:rsidP="004A2CD6">
      <w:pPr>
        <w:spacing w:after="120" w:line="288" w:lineRule="auto"/>
        <w:jc w:val="both"/>
        <w:rPr>
          <w:rFonts w:ascii="Arial" w:hAnsi="Arial" w:cs="Arial"/>
          <w:sz w:val="24"/>
          <w:szCs w:val="24"/>
        </w:rPr>
      </w:pPr>
      <w:r>
        <w:rPr>
          <w:rFonts w:ascii="Arial" w:hAnsi="Arial" w:cs="Arial"/>
          <w:sz w:val="24"/>
          <w:szCs w:val="24"/>
        </w:rPr>
        <w:t>Ante esta situación se comenzó una negociación con los fondos buitres para comenzar a solucionar la situación, defendiendo los intereses de Argentina</w:t>
      </w:r>
      <w:r w:rsidR="000E5696">
        <w:rPr>
          <w:rFonts w:ascii="Arial" w:hAnsi="Arial" w:cs="Arial"/>
          <w:sz w:val="24"/>
          <w:szCs w:val="24"/>
        </w:rPr>
        <w:t>.</w:t>
      </w:r>
    </w:p>
    <w:p w14:paraId="75B0065A" w14:textId="2E49B79E" w:rsidR="00BF12CA" w:rsidRDefault="000E5696" w:rsidP="0083136E">
      <w:pPr>
        <w:spacing w:after="120" w:line="288" w:lineRule="auto"/>
        <w:jc w:val="both"/>
        <w:rPr>
          <w:rFonts w:ascii="Arial" w:hAnsi="Arial" w:cs="Arial"/>
          <w:sz w:val="24"/>
          <w:szCs w:val="24"/>
        </w:rPr>
      </w:pPr>
      <w:r>
        <w:rPr>
          <w:rFonts w:ascii="Arial" w:hAnsi="Arial" w:cs="Arial"/>
          <w:sz w:val="24"/>
          <w:szCs w:val="24"/>
        </w:rPr>
        <w:t>A tal punto que la Argentina fue protagonista de uno de los hitos internacionales más importantes en la historia financiera mundial al lograr</w:t>
      </w:r>
      <w:r w:rsidR="00BF12CA">
        <w:rPr>
          <w:rFonts w:ascii="Arial" w:hAnsi="Arial" w:cs="Arial"/>
          <w:sz w:val="24"/>
          <w:szCs w:val="24"/>
        </w:rPr>
        <w:t xml:space="preserve">, el 10 de setiembre de </w:t>
      </w:r>
      <w:r w:rsidR="007174F2">
        <w:rPr>
          <w:rFonts w:ascii="Arial" w:hAnsi="Arial" w:cs="Arial"/>
          <w:sz w:val="24"/>
          <w:szCs w:val="24"/>
        </w:rPr>
        <w:t>2015, la</w:t>
      </w:r>
      <w:r>
        <w:rPr>
          <w:rFonts w:ascii="Arial" w:hAnsi="Arial" w:cs="Arial"/>
          <w:sz w:val="24"/>
          <w:szCs w:val="24"/>
        </w:rPr>
        <w:t xml:space="preserve"> aprobación por parte de la Asamblea General de la Organización de Naciones Unidas de los </w:t>
      </w:r>
      <w:r w:rsidR="00BF12CA">
        <w:rPr>
          <w:rFonts w:ascii="Arial" w:hAnsi="Arial" w:cs="Arial"/>
          <w:sz w:val="24"/>
          <w:szCs w:val="24"/>
        </w:rPr>
        <w:t>“P</w:t>
      </w:r>
      <w:r>
        <w:rPr>
          <w:rFonts w:ascii="Arial" w:hAnsi="Arial" w:cs="Arial"/>
          <w:sz w:val="24"/>
          <w:szCs w:val="24"/>
        </w:rPr>
        <w:t xml:space="preserve">rincipios </w:t>
      </w:r>
      <w:r w:rsidR="00BF12CA">
        <w:rPr>
          <w:rFonts w:ascii="Arial" w:hAnsi="Arial" w:cs="Arial"/>
          <w:sz w:val="24"/>
          <w:szCs w:val="24"/>
        </w:rPr>
        <w:t>Básicos para la Reestructuración de la Deuda Soberana”, que se venían trabajando por un Comité Especial, desde comienzo de dicho año.</w:t>
      </w:r>
    </w:p>
    <w:p w14:paraId="728C93C5" w14:textId="24FB8CFA" w:rsidR="00BF12CA" w:rsidRDefault="000E5696" w:rsidP="0083136E">
      <w:pPr>
        <w:spacing w:after="120" w:line="288" w:lineRule="auto"/>
        <w:jc w:val="both"/>
        <w:rPr>
          <w:rFonts w:ascii="Arial" w:hAnsi="Arial" w:cs="Arial"/>
          <w:sz w:val="24"/>
          <w:szCs w:val="24"/>
        </w:rPr>
      </w:pPr>
      <w:r w:rsidRPr="000E5696">
        <w:rPr>
          <w:rFonts w:ascii="Arial" w:hAnsi="Arial" w:cs="Arial"/>
          <w:sz w:val="24"/>
          <w:szCs w:val="24"/>
        </w:rPr>
        <w:t>En una votación en la que se superó de manera amplia la cantidad de votos necesarios para alcanzar la mayoría simple que requería el proceso, el proyecto contó con el apoyo de 136 países, mientras que 41 se abstuvieron y 6 se opusieron (Alemania, Canadá, Estados Unidos, Israel, Japón, Reino Unido).</w:t>
      </w:r>
    </w:p>
    <w:p w14:paraId="615C1A00" w14:textId="12C201FA" w:rsidR="00BF12CA" w:rsidRDefault="00BF12CA" w:rsidP="0083136E">
      <w:pPr>
        <w:spacing w:after="120" w:line="288" w:lineRule="auto"/>
        <w:jc w:val="both"/>
        <w:rPr>
          <w:rFonts w:ascii="Arial" w:hAnsi="Arial" w:cs="Arial"/>
          <w:sz w:val="24"/>
          <w:szCs w:val="24"/>
        </w:rPr>
      </w:pPr>
      <w:r>
        <w:rPr>
          <w:rFonts w:ascii="Arial" w:hAnsi="Arial" w:cs="Arial"/>
          <w:sz w:val="24"/>
          <w:szCs w:val="24"/>
        </w:rPr>
        <w:t>Los 9 principios aprobados son los siguientes:</w:t>
      </w:r>
    </w:p>
    <w:p w14:paraId="737BF606" w14:textId="6D62C1B1" w:rsidR="00410B8E" w:rsidRDefault="005C2744" w:rsidP="00410B8E">
      <w:pPr>
        <w:pStyle w:val="Prrafodelista"/>
        <w:numPr>
          <w:ilvl w:val="0"/>
          <w:numId w:val="6"/>
        </w:numPr>
        <w:spacing w:after="120" w:line="288" w:lineRule="auto"/>
        <w:jc w:val="both"/>
        <w:rPr>
          <w:rFonts w:ascii="Arial" w:hAnsi="Arial" w:cs="Arial"/>
          <w:sz w:val="24"/>
          <w:szCs w:val="24"/>
        </w:rPr>
      </w:pPr>
      <w:r w:rsidRPr="005C2744">
        <w:rPr>
          <w:rFonts w:ascii="Arial" w:hAnsi="Arial" w:cs="Arial"/>
          <w:b/>
          <w:bCs/>
          <w:sz w:val="24"/>
          <w:szCs w:val="24"/>
        </w:rPr>
        <w:t>Derecho Soberano</w:t>
      </w:r>
      <w:r>
        <w:rPr>
          <w:rFonts w:ascii="Arial" w:hAnsi="Arial" w:cs="Arial"/>
          <w:sz w:val="24"/>
          <w:szCs w:val="24"/>
        </w:rPr>
        <w:t xml:space="preserve">. </w:t>
      </w:r>
      <w:r w:rsidR="00BF12CA" w:rsidRPr="00410B8E">
        <w:rPr>
          <w:rFonts w:ascii="Arial" w:hAnsi="Arial" w:cs="Arial"/>
          <w:sz w:val="24"/>
          <w:szCs w:val="24"/>
        </w:rPr>
        <w:t>Un Estado soberano tiene derecho, en el ejercicio de su facultad discrecional, a elaborar sus políticas macroeconómicas, incluida la reestructuración de su deuda soberana, derecho que no debe verse frustrado ni obstaculizado por medidas abusivas. La reestructuración debe hacerse como último recurso, preservando desde el inicio los derechos de los acreedores.</w:t>
      </w:r>
    </w:p>
    <w:p w14:paraId="77A82614" w14:textId="77777777" w:rsidR="00410B8E" w:rsidRDefault="00410B8E" w:rsidP="00410B8E">
      <w:pPr>
        <w:pStyle w:val="Prrafodelista"/>
        <w:spacing w:after="120" w:line="288" w:lineRule="auto"/>
        <w:jc w:val="both"/>
        <w:rPr>
          <w:rFonts w:ascii="Arial" w:hAnsi="Arial" w:cs="Arial"/>
          <w:sz w:val="24"/>
          <w:szCs w:val="24"/>
        </w:rPr>
      </w:pPr>
    </w:p>
    <w:p w14:paraId="6E15F75B" w14:textId="2722895A" w:rsidR="00410B8E" w:rsidRDefault="005C2744" w:rsidP="00410B8E">
      <w:pPr>
        <w:pStyle w:val="Prrafodelista"/>
        <w:numPr>
          <w:ilvl w:val="0"/>
          <w:numId w:val="6"/>
        </w:numPr>
        <w:spacing w:after="120" w:line="288" w:lineRule="auto"/>
        <w:jc w:val="both"/>
        <w:rPr>
          <w:rFonts w:ascii="Arial" w:hAnsi="Arial" w:cs="Arial"/>
          <w:sz w:val="24"/>
          <w:szCs w:val="24"/>
        </w:rPr>
      </w:pPr>
      <w:r w:rsidRPr="005C2744">
        <w:rPr>
          <w:rFonts w:ascii="Arial" w:hAnsi="Arial" w:cs="Arial"/>
          <w:b/>
          <w:bCs/>
          <w:sz w:val="24"/>
          <w:szCs w:val="24"/>
        </w:rPr>
        <w:t>Buena Fe.</w:t>
      </w:r>
      <w:r>
        <w:rPr>
          <w:rFonts w:ascii="Arial" w:hAnsi="Arial" w:cs="Arial"/>
          <w:sz w:val="24"/>
          <w:szCs w:val="24"/>
        </w:rPr>
        <w:t xml:space="preserve"> </w:t>
      </w:r>
      <w:r w:rsidR="00BF12CA" w:rsidRPr="00410B8E">
        <w:rPr>
          <w:rFonts w:ascii="Arial" w:hAnsi="Arial" w:cs="Arial"/>
          <w:sz w:val="24"/>
          <w:szCs w:val="24"/>
        </w:rPr>
        <w:t>El principio de que el deudor soberano y todos sus acreedores deben actuar de buena fe implica su participación en negociaciones constructivas de reestructuración de la deuda soberana y en otras etapas del proceso con el propósito de restablecer la sostenibilidad de la deuda y el servicio de la deuda de manera rápida y duradera y de obtener el apoyo de una masa crítica de acreedores mediante un diálogo constructivo acerca de las condiciones de la reestructuración.</w:t>
      </w:r>
      <w:r w:rsidR="00BF12CA" w:rsidRPr="00410B8E">
        <w:rPr>
          <w:rFonts w:ascii="Arial" w:hAnsi="Arial" w:cs="Arial"/>
          <w:sz w:val="24"/>
          <w:szCs w:val="24"/>
        </w:rPr>
        <w:br/>
      </w:r>
    </w:p>
    <w:p w14:paraId="5BBF5FD5" w14:textId="77777777" w:rsidR="00410B8E" w:rsidRPr="00410B8E" w:rsidRDefault="00410B8E" w:rsidP="00410B8E">
      <w:pPr>
        <w:pStyle w:val="Prrafodelista"/>
        <w:rPr>
          <w:rFonts w:ascii="Arial" w:hAnsi="Arial" w:cs="Arial"/>
          <w:sz w:val="24"/>
          <w:szCs w:val="24"/>
        </w:rPr>
      </w:pPr>
    </w:p>
    <w:p w14:paraId="7382C549" w14:textId="1466D6E6" w:rsidR="00410B8E" w:rsidRDefault="005C2744" w:rsidP="00410B8E">
      <w:pPr>
        <w:pStyle w:val="Prrafodelista"/>
        <w:numPr>
          <w:ilvl w:val="0"/>
          <w:numId w:val="6"/>
        </w:numPr>
        <w:spacing w:after="120" w:line="288" w:lineRule="auto"/>
        <w:jc w:val="both"/>
        <w:rPr>
          <w:rFonts w:ascii="Arial" w:hAnsi="Arial" w:cs="Arial"/>
          <w:sz w:val="24"/>
          <w:szCs w:val="24"/>
        </w:rPr>
      </w:pPr>
      <w:r w:rsidRPr="005C2744">
        <w:rPr>
          <w:rFonts w:ascii="Arial" w:hAnsi="Arial" w:cs="Arial"/>
          <w:b/>
          <w:bCs/>
          <w:sz w:val="24"/>
          <w:szCs w:val="24"/>
        </w:rPr>
        <w:t>Transparencia.</w:t>
      </w:r>
      <w:r>
        <w:rPr>
          <w:rFonts w:ascii="Arial" w:hAnsi="Arial" w:cs="Arial"/>
          <w:sz w:val="24"/>
          <w:szCs w:val="24"/>
        </w:rPr>
        <w:t xml:space="preserve"> </w:t>
      </w:r>
      <w:r w:rsidR="00BF12CA" w:rsidRPr="00410B8E">
        <w:rPr>
          <w:rFonts w:ascii="Arial" w:hAnsi="Arial" w:cs="Arial"/>
          <w:sz w:val="24"/>
          <w:szCs w:val="24"/>
        </w:rPr>
        <w:t xml:space="preserve">El principio de la transparencia debe promoverse para aumentar la rendición de cuentas de los interesados, lo que puede </w:t>
      </w:r>
      <w:r w:rsidR="00BF12CA" w:rsidRPr="00410B8E">
        <w:rPr>
          <w:rFonts w:ascii="Arial" w:hAnsi="Arial" w:cs="Arial"/>
          <w:sz w:val="24"/>
          <w:szCs w:val="24"/>
        </w:rPr>
        <w:lastRenderedPageBreak/>
        <w:t>lograrse compartiendo oportunamente tanto datos como procesos relacionados con la renegociación de la deuda soberana.</w:t>
      </w:r>
    </w:p>
    <w:p w14:paraId="7A8D204D" w14:textId="77777777" w:rsidR="00F007BC" w:rsidRPr="00F007BC" w:rsidRDefault="00F007BC" w:rsidP="00F007BC">
      <w:pPr>
        <w:pStyle w:val="Prrafodelista"/>
        <w:rPr>
          <w:rFonts w:ascii="Arial" w:hAnsi="Arial" w:cs="Arial"/>
          <w:sz w:val="24"/>
          <w:szCs w:val="24"/>
        </w:rPr>
      </w:pPr>
    </w:p>
    <w:p w14:paraId="036BF3ED" w14:textId="14F35EFD" w:rsidR="00410B8E" w:rsidRDefault="005C2744" w:rsidP="00410B8E">
      <w:pPr>
        <w:pStyle w:val="Prrafodelista"/>
        <w:numPr>
          <w:ilvl w:val="0"/>
          <w:numId w:val="6"/>
        </w:numPr>
        <w:spacing w:after="120" w:line="288" w:lineRule="auto"/>
        <w:jc w:val="both"/>
        <w:rPr>
          <w:rFonts w:ascii="Arial" w:hAnsi="Arial" w:cs="Arial"/>
          <w:sz w:val="24"/>
          <w:szCs w:val="24"/>
        </w:rPr>
      </w:pPr>
      <w:r w:rsidRPr="005C2744">
        <w:rPr>
          <w:rFonts w:ascii="Arial" w:hAnsi="Arial" w:cs="Arial"/>
          <w:b/>
          <w:bCs/>
          <w:sz w:val="24"/>
          <w:szCs w:val="24"/>
        </w:rPr>
        <w:t>Imparcialidad.</w:t>
      </w:r>
      <w:r>
        <w:rPr>
          <w:rFonts w:ascii="Arial" w:hAnsi="Arial" w:cs="Arial"/>
          <w:sz w:val="24"/>
          <w:szCs w:val="24"/>
        </w:rPr>
        <w:t xml:space="preserve"> </w:t>
      </w:r>
      <w:r w:rsidR="00BF12CA" w:rsidRPr="00410B8E">
        <w:rPr>
          <w:rFonts w:ascii="Arial" w:hAnsi="Arial" w:cs="Arial"/>
          <w:sz w:val="24"/>
          <w:szCs w:val="24"/>
        </w:rPr>
        <w:t>El principio de la imparcialidad exige que todas las instituciones y agentes involucrados en las reestructuraciones de la deuda soberana, incluso a nivel regional, de conformidad con sus mandatos respectivos, sean independientes y se abstengan de ejercer toda influencia indebida en el proceso y en otros interesados o de realizar actos que generen conflictos de interés o corrupción o ambos.</w:t>
      </w:r>
    </w:p>
    <w:p w14:paraId="5F798564" w14:textId="77777777" w:rsidR="00410B8E" w:rsidRPr="00410B8E" w:rsidRDefault="00410B8E" w:rsidP="00410B8E">
      <w:pPr>
        <w:pStyle w:val="Prrafodelista"/>
        <w:rPr>
          <w:rFonts w:ascii="Arial" w:hAnsi="Arial" w:cs="Arial"/>
          <w:sz w:val="24"/>
          <w:szCs w:val="24"/>
        </w:rPr>
      </w:pPr>
    </w:p>
    <w:p w14:paraId="4CE0D105" w14:textId="71156401" w:rsidR="00410B8E" w:rsidRDefault="005C2744" w:rsidP="00410B8E">
      <w:pPr>
        <w:pStyle w:val="Prrafodelista"/>
        <w:numPr>
          <w:ilvl w:val="0"/>
          <w:numId w:val="6"/>
        </w:numPr>
        <w:spacing w:after="120" w:line="288" w:lineRule="auto"/>
        <w:jc w:val="both"/>
        <w:rPr>
          <w:rFonts w:ascii="Arial" w:hAnsi="Arial" w:cs="Arial"/>
          <w:sz w:val="24"/>
          <w:szCs w:val="24"/>
        </w:rPr>
      </w:pPr>
      <w:r w:rsidRPr="005C2744">
        <w:rPr>
          <w:rFonts w:ascii="Arial" w:hAnsi="Arial" w:cs="Arial"/>
          <w:b/>
          <w:bCs/>
          <w:sz w:val="24"/>
          <w:szCs w:val="24"/>
        </w:rPr>
        <w:t>Trato Equitativo.</w:t>
      </w:r>
      <w:r>
        <w:rPr>
          <w:rFonts w:ascii="Arial" w:hAnsi="Arial" w:cs="Arial"/>
          <w:sz w:val="24"/>
          <w:szCs w:val="24"/>
        </w:rPr>
        <w:t xml:space="preserve"> </w:t>
      </w:r>
      <w:r w:rsidR="00BF12CA" w:rsidRPr="00410B8E">
        <w:rPr>
          <w:rFonts w:ascii="Arial" w:hAnsi="Arial" w:cs="Arial"/>
          <w:sz w:val="24"/>
          <w:szCs w:val="24"/>
        </w:rPr>
        <w:t>El principio del trato equitativo impone a los Estados la obligación de abstenerse de discriminar arbitrariamente a los acreedores, a menos que la diferencia de trato esté justificada conforme a derecho, sea razonable y se corresponda con las características del crédito, garantice la igualdad entre los acreedores y sea examinada por todos los acreedores. Los acreedores tienen derecho a recibir el mismo trato en proporción con su crédito y con las características de este. Ningún acreedor o grupo de acreedores debe ser excluido a priori del proceso de reestructuración de la deuda soberana.</w:t>
      </w:r>
    </w:p>
    <w:p w14:paraId="67BF9929" w14:textId="77777777" w:rsidR="00410B8E" w:rsidRPr="00410B8E" w:rsidRDefault="00410B8E" w:rsidP="00410B8E">
      <w:pPr>
        <w:pStyle w:val="Prrafodelista"/>
        <w:rPr>
          <w:rFonts w:ascii="Arial" w:hAnsi="Arial" w:cs="Arial"/>
          <w:sz w:val="24"/>
          <w:szCs w:val="24"/>
        </w:rPr>
      </w:pPr>
    </w:p>
    <w:p w14:paraId="17071A86" w14:textId="0F815434" w:rsidR="00410B8E" w:rsidRDefault="005C2744" w:rsidP="00410B8E">
      <w:pPr>
        <w:pStyle w:val="Prrafodelista"/>
        <w:numPr>
          <w:ilvl w:val="0"/>
          <w:numId w:val="6"/>
        </w:numPr>
        <w:spacing w:after="120" w:line="288" w:lineRule="auto"/>
        <w:jc w:val="both"/>
        <w:rPr>
          <w:rFonts w:ascii="Arial" w:hAnsi="Arial" w:cs="Arial"/>
          <w:sz w:val="24"/>
          <w:szCs w:val="24"/>
        </w:rPr>
      </w:pPr>
      <w:r w:rsidRPr="005C2744">
        <w:rPr>
          <w:rFonts w:ascii="Arial" w:hAnsi="Arial" w:cs="Arial"/>
          <w:b/>
          <w:bCs/>
          <w:sz w:val="24"/>
          <w:szCs w:val="24"/>
        </w:rPr>
        <w:t>Inmunidad Soberana</w:t>
      </w:r>
      <w:r>
        <w:rPr>
          <w:rFonts w:ascii="Arial" w:hAnsi="Arial" w:cs="Arial"/>
          <w:sz w:val="24"/>
          <w:szCs w:val="24"/>
        </w:rPr>
        <w:t xml:space="preserve">. </w:t>
      </w:r>
      <w:r w:rsidR="00BF12CA" w:rsidRPr="00410B8E">
        <w:rPr>
          <w:rFonts w:ascii="Arial" w:hAnsi="Arial" w:cs="Arial"/>
          <w:sz w:val="24"/>
          <w:szCs w:val="24"/>
        </w:rPr>
        <w:t>El principio de la inmunidad soberana de jurisdicción y ejecución en materia de reestructuración de la deuda soberana es un derecho de los Estados ante los tribunales internos extranjeros, y las excepciones deberán interpretarse de manera restrictiva.</w:t>
      </w:r>
    </w:p>
    <w:p w14:paraId="06914506" w14:textId="77777777" w:rsidR="00410B8E" w:rsidRPr="00410B8E" w:rsidRDefault="00410B8E" w:rsidP="00410B8E">
      <w:pPr>
        <w:pStyle w:val="Prrafodelista"/>
        <w:rPr>
          <w:rFonts w:ascii="Arial" w:hAnsi="Arial" w:cs="Arial"/>
          <w:sz w:val="24"/>
          <w:szCs w:val="24"/>
        </w:rPr>
      </w:pPr>
    </w:p>
    <w:p w14:paraId="3C3D8735" w14:textId="1F61969E" w:rsidR="00410B8E" w:rsidRDefault="008B5FBC" w:rsidP="00410B8E">
      <w:pPr>
        <w:pStyle w:val="Prrafodelista"/>
        <w:numPr>
          <w:ilvl w:val="0"/>
          <w:numId w:val="6"/>
        </w:numPr>
        <w:spacing w:after="120" w:line="288" w:lineRule="auto"/>
        <w:jc w:val="both"/>
        <w:rPr>
          <w:rFonts w:ascii="Arial" w:hAnsi="Arial" w:cs="Arial"/>
          <w:sz w:val="24"/>
          <w:szCs w:val="24"/>
        </w:rPr>
      </w:pPr>
      <w:r w:rsidRPr="008B5FBC">
        <w:rPr>
          <w:rFonts w:ascii="Arial" w:hAnsi="Arial" w:cs="Arial"/>
          <w:b/>
          <w:bCs/>
          <w:sz w:val="24"/>
          <w:szCs w:val="24"/>
        </w:rPr>
        <w:t>Legitimidad.</w:t>
      </w:r>
      <w:r>
        <w:rPr>
          <w:rFonts w:ascii="Arial" w:hAnsi="Arial" w:cs="Arial"/>
          <w:sz w:val="24"/>
          <w:szCs w:val="24"/>
        </w:rPr>
        <w:t xml:space="preserve"> </w:t>
      </w:r>
      <w:r w:rsidR="00BF12CA" w:rsidRPr="00410B8E">
        <w:rPr>
          <w:rFonts w:ascii="Arial" w:hAnsi="Arial" w:cs="Arial"/>
          <w:sz w:val="24"/>
          <w:szCs w:val="24"/>
        </w:rPr>
        <w:t>El principio de la legitimidad implica que al establecer instituciones y realizar operaciones relacionadas con la reestructuración de la deuda soberana se deben respetar, en todos los niveles, los requisitos de inclusión y el estado de derecho. Los términos y condiciones de los contratos originales seguirán siendo válidos hasta que sean modificados mediante un acuerdo de reestructuración.</w:t>
      </w:r>
    </w:p>
    <w:p w14:paraId="1F78E215" w14:textId="77777777" w:rsidR="00410B8E" w:rsidRPr="00410B8E" w:rsidRDefault="00410B8E" w:rsidP="00410B8E">
      <w:pPr>
        <w:pStyle w:val="Prrafodelista"/>
        <w:rPr>
          <w:rFonts w:ascii="Arial" w:hAnsi="Arial" w:cs="Arial"/>
          <w:sz w:val="24"/>
          <w:szCs w:val="24"/>
        </w:rPr>
      </w:pPr>
    </w:p>
    <w:p w14:paraId="0274B770" w14:textId="36A64A74" w:rsidR="00410B8E" w:rsidRDefault="008B5FBC" w:rsidP="00410B8E">
      <w:pPr>
        <w:pStyle w:val="Prrafodelista"/>
        <w:numPr>
          <w:ilvl w:val="0"/>
          <w:numId w:val="6"/>
        </w:numPr>
        <w:spacing w:after="120" w:line="288" w:lineRule="auto"/>
        <w:jc w:val="both"/>
        <w:rPr>
          <w:rFonts w:ascii="Arial" w:hAnsi="Arial" w:cs="Arial"/>
          <w:sz w:val="24"/>
          <w:szCs w:val="24"/>
        </w:rPr>
      </w:pPr>
      <w:r w:rsidRPr="008B5FBC">
        <w:rPr>
          <w:rFonts w:ascii="Arial" w:hAnsi="Arial" w:cs="Arial"/>
          <w:b/>
          <w:bCs/>
          <w:sz w:val="24"/>
          <w:szCs w:val="24"/>
        </w:rPr>
        <w:t>Sostenibilidad.</w:t>
      </w:r>
      <w:r>
        <w:rPr>
          <w:rFonts w:ascii="Arial" w:hAnsi="Arial" w:cs="Arial"/>
          <w:sz w:val="24"/>
          <w:szCs w:val="24"/>
        </w:rPr>
        <w:t xml:space="preserve"> </w:t>
      </w:r>
      <w:r w:rsidR="00BF12CA" w:rsidRPr="00410B8E">
        <w:rPr>
          <w:rFonts w:ascii="Arial" w:hAnsi="Arial" w:cs="Arial"/>
          <w:sz w:val="24"/>
          <w:szCs w:val="24"/>
        </w:rPr>
        <w:t>El principio de la sostenibilidad significa que las reestructuraciones de la deuda soberana deben realizarse de manera oportuna y eficiente y crear una situación de endeudamiento estable en el Estado deudor, preservando desde el inicio los derechos de los acreedores y a la vez promoviendo el crecimiento económico sostenido e inclusivo y el desarrollo sostenible, minimizando los costos económicos y sociales, garantizando la estabilidad del sistema financiero internacional y respetando los derechos humanos.</w:t>
      </w:r>
    </w:p>
    <w:p w14:paraId="52ADF36A" w14:textId="77777777" w:rsidR="00410B8E" w:rsidRPr="00410B8E" w:rsidRDefault="00410B8E" w:rsidP="00410B8E">
      <w:pPr>
        <w:pStyle w:val="Prrafodelista"/>
        <w:rPr>
          <w:rFonts w:ascii="Arial" w:hAnsi="Arial" w:cs="Arial"/>
          <w:sz w:val="24"/>
          <w:szCs w:val="24"/>
        </w:rPr>
      </w:pPr>
    </w:p>
    <w:p w14:paraId="64F8B0C1" w14:textId="65711A4D" w:rsidR="00BF12CA" w:rsidRPr="00410B8E" w:rsidRDefault="008B5FBC" w:rsidP="00410B8E">
      <w:pPr>
        <w:pStyle w:val="Prrafodelista"/>
        <w:numPr>
          <w:ilvl w:val="0"/>
          <w:numId w:val="6"/>
        </w:numPr>
        <w:spacing w:after="120" w:line="288" w:lineRule="auto"/>
        <w:jc w:val="both"/>
        <w:rPr>
          <w:rFonts w:ascii="Arial" w:hAnsi="Arial" w:cs="Arial"/>
          <w:sz w:val="24"/>
          <w:szCs w:val="24"/>
        </w:rPr>
      </w:pPr>
      <w:r w:rsidRPr="008B5FBC">
        <w:rPr>
          <w:rFonts w:ascii="Arial" w:hAnsi="Arial" w:cs="Arial"/>
          <w:b/>
          <w:bCs/>
          <w:sz w:val="24"/>
          <w:szCs w:val="24"/>
        </w:rPr>
        <w:lastRenderedPageBreak/>
        <w:t>Acción Colectiva</w:t>
      </w:r>
      <w:r>
        <w:rPr>
          <w:rFonts w:ascii="Arial" w:hAnsi="Arial" w:cs="Arial"/>
          <w:sz w:val="24"/>
          <w:szCs w:val="24"/>
        </w:rPr>
        <w:t xml:space="preserve">. </w:t>
      </w:r>
      <w:r w:rsidR="00BF12CA" w:rsidRPr="00410B8E">
        <w:rPr>
          <w:rFonts w:ascii="Arial" w:hAnsi="Arial" w:cs="Arial"/>
          <w:sz w:val="24"/>
          <w:szCs w:val="24"/>
        </w:rPr>
        <w:t>La reestructuración por mayoría implica que los acuerdos de reestructuración de la deuda soberana que sean aprobados por una mayoría cualificada de los acreedores de un Estado no se verán afectados, perjudicados u obstaculizados de otro modo por otros Estados o por una minoría no representativa de acreedores, que deben respetar las decisiones adoptadas por la mayoría de los acreedores. Debe alentarse a los Estados a que incluyan cláusulas de acción colectiva en sus emisiones de deuda soberana.</w:t>
      </w:r>
    </w:p>
    <w:p w14:paraId="0138DC46" w14:textId="1E7FDB7B" w:rsidR="0083136E" w:rsidRPr="00941CA9" w:rsidRDefault="004A2CD6" w:rsidP="0083136E">
      <w:pPr>
        <w:spacing w:after="120" w:line="288" w:lineRule="auto"/>
        <w:jc w:val="both"/>
        <w:rPr>
          <w:rFonts w:ascii="Arial" w:hAnsi="Arial" w:cs="Arial"/>
          <w:sz w:val="24"/>
          <w:szCs w:val="24"/>
        </w:rPr>
      </w:pPr>
      <w:r w:rsidRPr="00941CA9">
        <w:rPr>
          <w:rFonts w:ascii="Arial" w:hAnsi="Arial" w:cs="Arial"/>
          <w:sz w:val="24"/>
          <w:szCs w:val="24"/>
        </w:rPr>
        <w:t>Pero, t</w:t>
      </w:r>
      <w:r w:rsidR="0083136E" w:rsidRPr="00941CA9">
        <w:rPr>
          <w:rFonts w:ascii="Arial" w:hAnsi="Arial" w:cs="Arial"/>
          <w:sz w:val="24"/>
          <w:szCs w:val="24"/>
        </w:rPr>
        <w:t xml:space="preserve">ras la asunción de Mauricio Macri como nuevo presidente, la actitud para con los fondos </w:t>
      </w:r>
      <w:r w:rsidR="00941CA9" w:rsidRPr="00941CA9">
        <w:rPr>
          <w:rFonts w:ascii="Arial" w:hAnsi="Arial" w:cs="Arial"/>
          <w:sz w:val="24"/>
          <w:szCs w:val="24"/>
        </w:rPr>
        <w:t xml:space="preserve">buitres </w:t>
      </w:r>
      <w:r w:rsidR="008A4C37" w:rsidRPr="00941CA9">
        <w:rPr>
          <w:rFonts w:ascii="Arial" w:hAnsi="Arial" w:cs="Arial"/>
          <w:sz w:val="24"/>
          <w:szCs w:val="24"/>
        </w:rPr>
        <w:t>se tornó</w:t>
      </w:r>
      <w:r w:rsidR="00941CA9" w:rsidRPr="00941CA9">
        <w:rPr>
          <w:rFonts w:ascii="Arial" w:hAnsi="Arial" w:cs="Arial"/>
          <w:sz w:val="24"/>
          <w:szCs w:val="24"/>
        </w:rPr>
        <w:t xml:space="preserve"> sumamente amigable, ya que</w:t>
      </w:r>
      <w:r w:rsidR="00CD0F28">
        <w:rPr>
          <w:rFonts w:ascii="Arial" w:hAnsi="Arial" w:cs="Arial"/>
          <w:sz w:val="24"/>
          <w:szCs w:val="24"/>
        </w:rPr>
        <w:t xml:space="preserve"> dicho gobierno </w:t>
      </w:r>
      <w:r w:rsidR="0083136E" w:rsidRPr="00941CA9">
        <w:rPr>
          <w:rFonts w:ascii="Arial" w:hAnsi="Arial" w:cs="Arial"/>
          <w:sz w:val="24"/>
          <w:szCs w:val="24"/>
        </w:rPr>
        <w:t>accedi</w:t>
      </w:r>
      <w:r w:rsidR="00CD0F28">
        <w:rPr>
          <w:rFonts w:ascii="Arial" w:hAnsi="Arial" w:cs="Arial"/>
          <w:sz w:val="24"/>
          <w:szCs w:val="24"/>
        </w:rPr>
        <w:t>ó</w:t>
      </w:r>
      <w:r w:rsidR="0083136E" w:rsidRPr="00941CA9">
        <w:rPr>
          <w:rFonts w:ascii="Arial" w:hAnsi="Arial" w:cs="Arial"/>
          <w:sz w:val="24"/>
          <w:szCs w:val="24"/>
        </w:rPr>
        <w:t xml:space="preserve"> a pagarles el total del reclamo legal, que inclu</w:t>
      </w:r>
      <w:r w:rsidR="00941CA9" w:rsidRPr="00941CA9">
        <w:rPr>
          <w:rFonts w:ascii="Arial" w:hAnsi="Arial" w:cs="Arial"/>
          <w:sz w:val="24"/>
          <w:szCs w:val="24"/>
        </w:rPr>
        <w:t>ía</w:t>
      </w:r>
      <w:r w:rsidR="0083136E" w:rsidRPr="00941CA9">
        <w:rPr>
          <w:rFonts w:ascii="Arial" w:hAnsi="Arial" w:cs="Arial"/>
          <w:sz w:val="24"/>
          <w:szCs w:val="24"/>
        </w:rPr>
        <w:t xml:space="preserve"> el monto reconocido en la sentencia más los intereses devengados desde la fecha de la sentencia, con una quita del 30%. </w:t>
      </w:r>
      <w:r w:rsidRPr="00941CA9">
        <w:rPr>
          <w:rFonts w:ascii="Arial" w:hAnsi="Arial" w:cs="Arial"/>
          <w:sz w:val="24"/>
          <w:szCs w:val="24"/>
        </w:rPr>
        <w:t>O se</w:t>
      </w:r>
      <w:r w:rsidR="00941CA9" w:rsidRPr="00941CA9">
        <w:rPr>
          <w:rFonts w:ascii="Arial" w:hAnsi="Arial" w:cs="Arial"/>
          <w:sz w:val="24"/>
          <w:szCs w:val="24"/>
        </w:rPr>
        <w:t xml:space="preserve">a, </w:t>
      </w:r>
      <w:r w:rsidRPr="00941CA9">
        <w:rPr>
          <w:rFonts w:ascii="Arial" w:hAnsi="Arial" w:cs="Arial"/>
          <w:sz w:val="24"/>
          <w:szCs w:val="24"/>
        </w:rPr>
        <w:t>un monto q ascendería</w:t>
      </w:r>
      <w:r w:rsidR="0083136E" w:rsidRPr="00941CA9">
        <w:rPr>
          <w:rFonts w:ascii="Arial" w:hAnsi="Arial" w:cs="Arial"/>
          <w:sz w:val="24"/>
          <w:szCs w:val="24"/>
        </w:rPr>
        <w:t xml:space="preserve"> a casi USD 12.000 millones. </w:t>
      </w:r>
    </w:p>
    <w:p w14:paraId="74BEE521" w14:textId="265E345E" w:rsidR="0083136E" w:rsidRPr="000E5696" w:rsidRDefault="00CD0F28" w:rsidP="0083136E">
      <w:pPr>
        <w:spacing w:after="120" w:line="288" w:lineRule="auto"/>
        <w:jc w:val="both"/>
        <w:rPr>
          <w:rFonts w:ascii="Arial" w:hAnsi="Arial" w:cs="Arial"/>
          <w:sz w:val="24"/>
          <w:szCs w:val="24"/>
        </w:rPr>
      </w:pPr>
      <w:r w:rsidRPr="000E5696">
        <w:rPr>
          <w:rFonts w:ascii="Arial" w:hAnsi="Arial" w:cs="Arial"/>
          <w:sz w:val="24"/>
          <w:szCs w:val="24"/>
        </w:rPr>
        <w:t>En adición</w:t>
      </w:r>
      <w:r w:rsidR="0083136E" w:rsidRPr="000E5696">
        <w:rPr>
          <w:rFonts w:ascii="Arial" w:hAnsi="Arial" w:cs="Arial"/>
          <w:sz w:val="24"/>
          <w:szCs w:val="24"/>
        </w:rPr>
        <w:t xml:space="preserve">, </w:t>
      </w:r>
      <w:proofErr w:type="spellStart"/>
      <w:r w:rsidR="0083136E" w:rsidRPr="000E5696">
        <w:rPr>
          <w:rFonts w:ascii="Arial" w:hAnsi="Arial" w:cs="Arial"/>
          <w:sz w:val="24"/>
          <w:szCs w:val="24"/>
        </w:rPr>
        <w:t>Griesa</w:t>
      </w:r>
      <w:proofErr w:type="spellEnd"/>
      <w:r w:rsidR="0083136E" w:rsidRPr="000E5696">
        <w:rPr>
          <w:rFonts w:ascii="Arial" w:hAnsi="Arial" w:cs="Arial"/>
          <w:sz w:val="24"/>
          <w:szCs w:val="24"/>
        </w:rPr>
        <w:t xml:space="preserve"> puso como condición </w:t>
      </w:r>
      <w:r w:rsidRPr="000E5696">
        <w:rPr>
          <w:rFonts w:ascii="Arial" w:hAnsi="Arial" w:cs="Arial"/>
          <w:sz w:val="24"/>
          <w:szCs w:val="24"/>
        </w:rPr>
        <w:t>la derogación de</w:t>
      </w:r>
      <w:r w:rsidR="0083136E" w:rsidRPr="000E5696">
        <w:rPr>
          <w:rFonts w:ascii="Arial" w:hAnsi="Arial" w:cs="Arial"/>
          <w:sz w:val="24"/>
          <w:szCs w:val="24"/>
        </w:rPr>
        <w:t xml:space="preserve"> las leyes vinculadas con los canjes anteriores y el pago soberano. </w:t>
      </w:r>
      <w:r w:rsidRPr="000E5696">
        <w:rPr>
          <w:rFonts w:ascii="Arial" w:hAnsi="Arial" w:cs="Arial"/>
          <w:sz w:val="24"/>
          <w:szCs w:val="24"/>
        </w:rPr>
        <w:t xml:space="preserve">Así, la </w:t>
      </w:r>
      <w:r w:rsidR="0083136E" w:rsidRPr="000E5696">
        <w:rPr>
          <w:rFonts w:ascii="Arial" w:hAnsi="Arial" w:cs="Arial"/>
          <w:sz w:val="24"/>
          <w:szCs w:val="24"/>
        </w:rPr>
        <w:t xml:space="preserve">Ley 26.886, conocida como </w:t>
      </w:r>
      <w:r w:rsidR="0083136E" w:rsidRPr="000E5696">
        <w:rPr>
          <w:rFonts w:ascii="Arial" w:hAnsi="Arial" w:cs="Arial"/>
          <w:i/>
          <w:sz w:val="24"/>
          <w:szCs w:val="24"/>
        </w:rPr>
        <w:t>Ley Cerrojo</w:t>
      </w:r>
      <w:r w:rsidR="0083136E" w:rsidRPr="000E5696">
        <w:rPr>
          <w:rFonts w:ascii="Arial" w:hAnsi="Arial" w:cs="Arial"/>
          <w:sz w:val="24"/>
          <w:szCs w:val="24"/>
        </w:rPr>
        <w:t>, establec</w:t>
      </w:r>
      <w:r w:rsidRPr="000E5696">
        <w:rPr>
          <w:rFonts w:ascii="Arial" w:hAnsi="Arial" w:cs="Arial"/>
          <w:sz w:val="24"/>
          <w:szCs w:val="24"/>
        </w:rPr>
        <w:t>ía</w:t>
      </w:r>
      <w:r w:rsidR="0083136E" w:rsidRPr="000E5696">
        <w:rPr>
          <w:rFonts w:ascii="Arial" w:hAnsi="Arial" w:cs="Arial"/>
          <w:sz w:val="24"/>
          <w:szCs w:val="24"/>
        </w:rPr>
        <w:t xml:space="preserve"> en su Artículo N°2 que “Los términos y condiciones financieros que se ofrezcan no podrán ser mejores que los ofrecidos a los acreedores en la reestructuración de deuda”. Es decir, dicha ley </w:t>
      </w:r>
      <w:r w:rsidR="003D5D65" w:rsidRPr="000E5696">
        <w:rPr>
          <w:rFonts w:ascii="Arial" w:hAnsi="Arial" w:cs="Arial"/>
          <w:sz w:val="24"/>
          <w:szCs w:val="24"/>
        </w:rPr>
        <w:t>impedía</w:t>
      </w:r>
      <w:r w:rsidR="0083136E" w:rsidRPr="000E5696">
        <w:rPr>
          <w:rFonts w:ascii="Arial" w:hAnsi="Arial" w:cs="Arial"/>
          <w:sz w:val="24"/>
          <w:szCs w:val="24"/>
        </w:rPr>
        <w:t xml:space="preserve"> realizar una oferta mejor</w:t>
      </w:r>
      <w:r w:rsidR="003D5D65">
        <w:rPr>
          <w:rFonts w:ascii="Arial" w:hAnsi="Arial" w:cs="Arial"/>
          <w:sz w:val="24"/>
          <w:szCs w:val="24"/>
        </w:rPr>
        <w:t xml:space="preserve"> a</w:t>
      </w:r>
      <w:r w:rsidR="0083136E" w:rsidRPr="000E5696">
        <w:rPr>
          <w:rFonts w:ascii="Arial" w:hAnsi="Arial" w:cs="Arial"/>
          <w:sz w:val="24"/>
          <w:szCs w:val="24"/>
        </w:rPr>
        <w:t xml:space="preserve"> </w:t>
      </w:r>
      <w:r w:rsidR="003D5D65">
        <w:rPr>
          <w:rFonts w:ascii="Arial" w:hAnsi="Arial" w:cs="Arial"/>
          <w:sz w:val="24"/>
          <w:szCs w:val="24"/>
        </w:rPr>
        <w:t>los fondos buitres</w:t>
      </w:r>
      <w:r w:rsidR="0083136E" w:rsidRPr="000E5696">
        <w:rPr>
          <w:rFonts w:ascii="Arial" w:hAnsi="Arial" w:cs="Arial"/>
          <w:sz w:val="24"/>
          <w:szCs w:val="24"/>
        </w:rPr>
        <w:t>, bajo el criterio de equidad para con los acreedores que decidieron ingresar al canje y aceptaron la quita de interese</w:t>
      </w:r>
      <w:r w:rsidR="000E5696" w:rsidRPr="000E5696">
        <w:rPr>
          <w:rFonts w:ascii="Arial" w:hAnsi="Arial" w:cs="Arial"/>
          <w:sz w:val="24"/>
          <w:szCs w:val="24"/>
        </w:rPr>
        <w:t>s</w:t>
      </w:r>
      <w:r w:rsidR="0083136E" w:rsidRPr="000E5696">
        <w:rPr>
          <w:rFonts w:ascii="Arial" w:hAnsi="Arial" w:cs="Arial"/>
          <w:sz w:val="24"/>
          <w:szCs w:val="24"/>
        </w:rPr>
        <w:t xml:space="preserve"> y capital.</w:t>
      </w:r>
    </w:p>
    <w:p w14:paraId="5A69104F" w14:textId="36411772" w:rsidR="0083136E" w:rsidRDefault="003D5D65" w:rsidP="0083136E">
      <w:pPr>
        <w:spacing w:after="120" w:line="288" w:lineRule="auto"/>
        <w:jc w:val="both"/>
        <w:rPr>
          <w:rFonts w:ascii="Arial" w:hAnsi="Arial" w:cs="Arial"/>
          <w:sz w:val="24"/>
          <w:szCs w:val="24"/>
        </w:rPr>
      </w:pPr>
      <w:r>
        <w:rPr>
          <w:rFonts w:ascii="Arial" w:hAnsi="Arial" w:cs="Arial"/>
          <w:sz w:val="24"/>
          <w:szCs w:val="24"/>
        </w:rPr>
        <w:t>En consecuencia</w:t>
      </w:r>
      <w:r w:rsidR="0083136E" w:rsidRPr="000E5696">
        <w:rPr>
          <w:rFonts w:ascii="Arial" w:hAnsi="Arial" w:cs="Arial"/>
          <w:sz w:val="24"/>
          <w:szCs w:val="24"/>
        </w:rPr>
        <w:t xml:space="preserve">, el gobierno </w:t>
      </w:r>
      <w:r w:rsidR="000E5696" w:rsidRPr="000E5696">
        <w:rPr>
          <w:rFonts w:ascii="Arial" w:hAnsi="Arial" w:cs="Arial"/>
          <w:sz w:val="24"/>
          <w:szCs w:val="24"/>
        </w:rPr>
        <w:t>de Macri logró</w:t>
      </w:r>
      <w:r w:rsidR="00F3131A">
        <w:rPr>
          <w:rFonts w:ascii="Arial" w:hAnsi="Arial" w:cs="Arial"/>
          <w:sz w:val="24"/>
          <w:szCs w:val="24"/>
        </w:rPr>
        <w:t>, el 30 de marzo de 2016,</w:t>
      </w:r>
      <w:r w:rsidR="000E5696" w:rsidRPr="000E5696">
        <w:rPr>
          <w:rFonts w:ascii="Arial" w:hAnsi="Arial" w:cs="Arial"/>
          <w:sz w:val="24"/>
          <w:szCs w:val="24"/>
        </w:rPr>
        <w:t xml:space="preserve"> la aprobación parlamentaria </w:t>
      </w:r>
      <w:r w:rsidR="00F66725" w:rsidRPr="000E5696">
        <w:rPr>
          <w:rFonts w:ascii="Arial" w:hAnsi="Arial" w:cs="Arial"/>
          <w:sz w:val="24"/>
          <w:szCs w:val="24"/>
        </w:rPr>
        <w:t>para la</w:t>
      </w:r>
      <w:r w:rsidR="0083136E" w:rsidRPr="000E5696">
        <w:rPr>
          <w:rFonts w:ascii="Arial" w:hAnsi="Arial" w:cs="Arial"/>
          <w:sz w:val="24"/>
          <w:szCs w:val="24"/>
        </w:rPr>
        <w:t xml:space="preserve"> derogación de las leyes 26.017, 26.886 y la 26.547 y toda norma o de</w:t>
      </w:r>
      <w:bookmarkStart w:id="3" w:name="_GoBack"/>
      <w:bookmarkEnd w:id="3"/>
      <w:r w:rsidR="0083136E" w:rsidRPr="000E5696">
        <w:rPr>
          <w:rFonts w:ascii="Arial" w:hAnsi="Arial" w:cs="Arial"/>
          <w:sz w:val="24"/>
          <w:szCs w:val="24"/>
        </w:rPr>
        <w:t>creto que impid</w:t>
      </w:r>
      <w:r w:rsidR="000E5696" w:rsidRPr="000E5696">
        <w:rPr>
          <w:rFonts w:ascii="Arial" w:hAnsi="Arial" w:cs="Arial"/>
          <w:sz w:val="24"/>
          <w:szCs w:val="24"/>
        </w:rPr>
        <w:t>iese</w:t>
      </w:r>
      <w:r w:rsidR="0083136E" w:rsidRPr="000E5696">
        <w:rPr>
          <w:rFonts w:ascii="Arial" w:hAnsi="Arial" w:cs="Arial"/>
          <w:sz w:val="24"/>
          <w:szCs w:val="24"/>
        </w:rPr>
        <w:t xml:space="preserve"> avanzar con este acuerdo</w:t>
      </w:r>
      <w:r w:rsidR="0083136E" w:rsidRPr="00F3131A">
        <w:rPr>
          <w:rFonts w:ascii="Arial" w:hAnsi="Arial" w:cs="Arial"/>
          <w:sz w:val="24"/>
          <w:szCs w:val="24"/>
        </w:rPr>
        <w:t xml:space="preserve">. </w:t>
      </w:r>
      <w:r w:rsidR="00F3131A" w:rsidRPr="00F3131A">
        <w:rPr>
          <w:rFonts w:ascii="Arial" w:hAnsi="Arial" w:cs="Arial"/>
          <w:sz w:val="24"/>
          <w:szCs w:val="24"/>
        </w:rPr>
        <w:t>Y de esa manera tuvo el camino libre para realizar el pago a los fondos buitres y comenzar el camino del endeudamiento desenfrenado que todavía hoy, y seguramente por muchos decenios más, deberá c</w:t>
      </w:r>
      <w:r w:rsidR="00C719CE">
        <w:rPr>
          <w:rFonts w:ascii="Arial" w:hAnsi="Arial" w:cs="Arial"/>
          <w:sz w:val="24"/>
          <w:szCs w:val="24"/>
        </w:rPr>
        <w:t>argar sobre sus espaldas la</w:t>
      </w:r>
      <w:r w:rsidR="00F3131A" w:rsidRPr="00F3131A">
        <w:rPr>
          <w:rFonts w:ascii="Arial" w:hAnsi="Arial" w:cs="Arial"/>
          <w:sz w:val="24"/>
          <w:szCs w:val="24"/>
        </w:rPr>
        <w:t xml:space="preserve"> sociedad</w:t>
      </w:r>
      <w:r w:rsidR="00C719CE">
        <w:rPr>
          <w:rFonts w:ascii="Arial" w:hAnsi="Arial" w:cs="Arial"/>
          <w:sz w:val="24"/>
          <w:szCs w:val="24"/>
        </w:rPr>
        <w:t xml:space="preserve"> argentina.</w:t>
      </w:r>
    </w:p>
    <w:p w14:paraId="7A2D3592" w14:textId="2F1037CB" w:rsidR="00C719CE" w:rsidRDefault="00C719CE" w:rsidP="0083136E">
      <w:pPr>
        <w:spacing w:after="120" w:line="288" w:lineRule="auto"/>
        <w:jc w:val="both"/>
        <w:rPr>
          <w:rFonts w:ascii="Arial" w:hAnsi="Arial" w:cs="Arial"/>
          <w:sz w:val="24"/>
          <w:szCs w:val="24"/>
        </w:rPr>
      </w:pPr>
      <w:r>
        <w:rPr>
          <w:rFonts w:ascii="Arial" w:hAnsi="Arial" w:cs="Arial"/>
          <w:sz w:val="24"/>
          <w:szCs w:val="24"/>
        </w:rPr>
        <w:t>Unos días después, el 22 de abril del 2016, el gobierno de Macri abonaba la suma de 9.352 millones de dólares a los fondos buitres, por una deuda que habían comprado en 428 millones de dólares apenas 8 años antes. La desproporción entre ambas cifras es tan evidente que nos exime de cualquier comentario adicional.</w:t>
      </w:r>
    </w:p>
    <w:p w14:paraId="02E5B27C" w14:textId="16E622F7" w:rsidR="00F44718" w:rsidRPr="00F44718" w:rsidRDefault="00634AA4" w:rsidP="00F44718">
      <w:pPr>
        <w:spacing w:after="120" w:line="288" w:lineRule="auto"/>
        <w:jc w:val="both"/>
        <w:rPr>
          <w:rFonts w:ascii="Arial" w:hAnsi="Arial" w:cs="Arial"/>
        </w:rPr>
      </w:pPr>
      <w:r>
        <w:rPr>
          <w:rFonts w:ascii="Arial" w:hAnsi="Arial" w:cs="Arial"/>
          <w:sz w:val="24"/>
          <w:szCs w:val="24"/>
        </w:rPr>
        <w:t xml:space="preserve">Actualmente, </w:t>
      </w:r>
      <w:r w:rsidR="006E41FA">
        <w:rPr>
          <w:rFonts w:ascii="Arial" w:hAnsi="Arial" w:cs="Arial"/>
          <w:sz w:val="24"/>
          <w:szCs w:val="24"/>
        </w:rPr>
        <w:t>de acuerdo a</w:t>
      </w:r>
      <w:r w:rsidR="00F44718">
        <w:rPr>
          <w:rFonts w:ascii="Arial" w:hAnsi="Arial" w:cs="Arial"/>
          <w:sz w:val="24"/>
          <w:szCs w:val="24"/>
        </w:rPr>
        <w:t>l reciente Informe</w:t>
      </w:r>
      <w:r w:rsidR="006E41FA">
        <w:rPr>
          <w:rFonts w:ascii="Arial" w:hAnsi="Arial" w:cs="Arial"/>
          <w:sz w:val="24"/>
          <w:szCs w:val="24"/>
        </w:rPr>
        <w:t xml:space="preserve"> Anual </w:t>
      </w:r>
      <w:r w:rsidR="00F44718">
        <w:rPr>
          <w:rFonts w:ascii="Arial" w:hAnsi="Arial" w:cs="Arial"/>
          <w:sz w:val="24"/>
          <w:szCs w:val="24"/>
        </w:rPr>
        <w:t xml:space="preserve">de </w:t>
      </w:r>
      <w:r w:rsidR="006E41FA">
        <w:rPr>
          <w:rFonts w:ascii="Arial" w:hAnsi="Arial" w:cs="Arial"/>
          <w:sz w:val="24"/>
          <w:szCs w:val="24"/>
        </w:rPr>
        <w:t xml:space="preserve">la </w:t>
      </w:r>
      <w:r w:rsidR="00F44718">
        <w:rPr>
          <w:rFonts w:ascii="Arial" w:hAnsi="Arial" w:cs="Arial"/>
          <w:sz w:val="24"/>
          <w:szCs w:val="24"/>
        </w:rPr>
        <w:t>Conferencia de las Naciones Unidas sobre el Comercio y el Desarrollo (UNCTAD según sus siglas en inglés) de principios de octubre del corriente año</w:t>
      </w:r>
      <w:r w:rsidR="007939C8">
        <w:rPr>
          <w:rStyle w:val="Refdenotaalpie"/>
          <w:rFonts w:ascii="Arial" w:hAnsi="Arial" w:cs="Arial"/>
          <w:sz w:val="24"/>
          <w:szCs w:val="24"/>
        </w:rPr>
        <w:footnoteReference w:id="7"/>
      </w:r>
      <w:r w:rsidR="00F44718">
        <w:rPr>
          <w:rFonts w:ascii="Arial" w:hAnsi="Arial" w:cs="Arial"/>
          <w:sz w:val="24"/>
          <w:szCs w:val="24"/>
        </w:rPr>
        <w:t>, “</w:t>
      </w:r>
      <w:r w:rsidR="00F44718" w:rsidRPr="00F44718">
        <w:rPr>
          <w:rFonts w:ascii="Arial" w:hAnsi="Arial" w:cs="Arial"/>
          <w:sz w:val="24"/>
          <w:szCs w:val="24"/>
        </w:rPr>
        <w:t xml:space="preserve">los flujos netos de capital hacia los países en desarrollo se han vuelto negativos con el deterioro de las </w:t>
      </w:r>
      <w:r w:rsidR="00F44718" w:rsidRPr="00F44718">
        <w:rPr>
          <w:rFonts w:ascii="Arial" w:hAnsi="Arial" w:cs="Arial"/>
          <w:sz w:val="24"/>
          <w:szCs w:val="24"/>
        </w:rPr>
        <w:lastRenderedPageBreak/>
        <w:t>condiciones financieras desde el último trimestre de 2021</w:t>
      </w:r>
      <w:r w:rsidR="006E41FA">
        <w:rPr>
          <w:rFonts w:ascii="Arial" w:hAnsi="Arial" w:cs="Arial"/>
          <w:sz w:val="24"/>
          <w:szCs w:val="24"/>
        </w:rPr>
        <w:t>.</w:t>
      </w:r>
      <w:r w:rsidR="00F44718" w:rsidRPr="00F44718">
        <w:rPr>
          <w:rFonts w:ascii="Arial" w:hAnsi="Arial" w:cs="Arial"/>
          <w:sz w:val="24"/>
          <w:szCs w:val="24"/>
        </w:rPr>
        <w:t xml:space="preserve"> En términos netos, los países en desarrollo están ahora financiando a los desarrollados.</w:t>
      </w:r>
      <w:r w:rsidR="006E41FA">
        <w:rPr>
          <w:rFonts w:ascii="Arial" w:hAnsi="Arial" w:cs="Arial"/>
          <w:sz w:val="24"/>
          <w:szCs w:val="24"/>
        </w:rPr>
        <w:t>”</w:t>
      </w:r>
    </w:p>
    <w:p w14:paraId="40FCE230" w14:textId="00ECE326" w:rsidR="00F44718" w:rsidRPr="00F44718" w:rsidRDefault="006E41FA" w:rsidP="00F44718">
      <w:pPr>
        <w:spacing w:after="120" w:line="288" w:lineRule="auto"/>
        <w:jc w:val="both"/>
        <w:rPr>
          <w:rFonts w:ascii="Arial" w:hAnsi="Arial" w:cs="Arial"/>
          <w:sz w:val="24"/>
          <w:szCs w:val="24"/>
        </w:rPr>
      </w:pPr>
      <w:r>
        <w:rPr>
          <w:rFonts w:ascii="Arial" w:hAnsi="Arial" w:cs="Arial"/>
          <w:sz w:val="24"/>
          <w:szCs w:val="24"/>
        </w:rPr>
        <w:t>Y agrega: “</w:t>
      </w:r>
      <w:r w:rsidR="00F44718" w:rsidRPr="00F44718">
        <w:rPr>
          <w:rFonts w:ascii="Arial" w:hAnsi="Arial" w:cs="Arial"/>
          <w:sz w:val="24"/>
          <w:szCs w:val="24"/>
        </w:rPr>
        <w:t>Unos 90 países en desarrollo han visto debilitarse sus monedas frente al dólar este año, más de un tercio de ellos en más de un 10%; las reservas de divisas están cayendo, y los diferenciales en los rendimientos de los bonos se están ampliando, con un número creciente de países afrontando intereses que están 10 puntos porcentuales más altos que los bonos del Tesoro estadounidense.</w:t>
      </w:r>
      <w:r>
        <w:rPr>
          <w:rFonts w:ascii="Arial" w:hAnsi="Arial" w:cs="Arial"/>
          <w:sz w:val="24"/>
          <w:szCs w:val="24"/>
        </w:rPr>
        <w:t>”</w:t>
      </w:r>
    </w:p>
    <w:p w14:paraId="02A15D63" w14:textId="4BF0933A" w:rsidR="006E41FA" w:rsidRPr="006E41FA" w:rsidRDefault="006E41FA" w:rsidP="006E41FA">
      <w:pPr>
        <w:spacing w:after="120" w:line="288" w:lineRule="auto"/>
        <w:jc w:val="both"/>
        <w:rPr>
          <w:rFonts w:ascii="Arial" w:hAnsi="Arial" w:cs="Arial"/>
          <w:sz w:val="24"/>
          <w:szCs w:val="24"/>
        </w:rPr>
      </w:pPr>
      <w:r>
        <w:rPr>
          <w:rFonts w:ascii="Arial" w:hAnsi="Arial" w:cs="Arial"/>
          <w:sz w:val="24"/>
          <w:szCs w:val="24"/>
        </w:rPr>
        <w:t>“</w:t>
      </w:r>
      <w:r w:rsidRPr="006E41FA">
        <w:rPr>
          <w:rFonts w:ascii="Arial" w:hAnsi="Arial" w:cs="Arial"/>
          <w:sz w:val="24"/>
          <w:szCs w:val="24"/>
        </w:rPr>
        <w:t xml:space="preserve">En la actualidad, 46 países en desarrollo están gravemente expuestos a múltiples </w:t>
      </w:r>
      <w:r>
        <w:rPr>
          <w:rFonts w:ascii="Arial" w:hAnsi="Arial" w:cs="Arial"/>
          <w:sz w:val="24"/>
          <w:szCs w:val="24"/>
        </w:rPr>
        <w:t xml:space="preserve">shocks </w:t>
      </w:r>
      <w:r w:rsidRPr="006E41FA">
        <w:rPr>
          <w:rFonts w:ascii="Arial" w:hAnsi="Arial" w:cs="Arial"/>
          <w:sz w:val="24"/>
          <w:szCs w:val="24"/>
        </w:rPr>
        <w:t>económicos y otros 48 están seriamente expuestos, lo que aumenta la amenaza de una crisis mundial de la deuda</w:t>
      </w:r>
      <w:r>
        <w:rPr>
          <w:rFonts w:ascii="Arial" w:hAnsi="Arial" w:cs="Arial"/>
          <w:sz w:val="24"/>
          <w:szCs w:val="24"/>
        </w:rPr>
        <w:t>”</w:t>
      </w:r>
      <w:r w:rsidRPr="006E41FA">
        <w:rPr>
          <w:rFonts w:ascii="Arial" w:hAnsi="Arial" w:cs="Arial"/>
          <w:sz w:val="24"/>
          <w:szCs w:val="24"/>
        </w:rPr>
        <w:t>.</w:t>
      </w:r>
    </w:p>
    <w:p w14:paraId="3BC1558F" w14:textId="3121386E" w:rsidR="00A533E9" w:rsidRDefault="006E41FA" w:rsidP="006E41FA">
      <w:pPr>
        <w:spacing w:after="120" w:line="288" w:lineRule="auto"/>
        <w:jc w:val="both"/>
        <w:rPr>
          <w:rFonts w:ascii="Roboto" w:hAnsi="Roboto"/>
          <w:color w:val="454545"/>
          <w:spacing w:val="-5"/>
          <w:sz w:val="23"/>
          <w:szCs w:val="23"/>
          <w:shd w:val="clear" w:color="auto" w:fill="FFFFFF"/>
        </w:rPr>
      </w:pPr>
      <w:r w:rsidRPr="006E41FA">
        <w:rPr>
          <w:rFonts w:ascii="Arial" w:hAnsi="Arial" w:cs="Arial"/>
          <w:sz w:val="24"/>
          <w:szCs w:val="24"/>
        </w:rPr>
        <w:t xml:space="preserve">El </w:t>
      </w:r>
      <w:r>
        <w:rPr>
          <w:rFonts w:ascii="Arial" w:hAnsi="Arial" w:cs="Arial"/>
          <w:sz w:val="24"/>
          <w:szCs w:val="24"/>
        </w:rPr>
        <w:t>I</w:t>
      </w:r>
      <w:r w:rsidRPr="006E41FA">
        <w:rPr>
          <w:rFonts w:ascii="Arial" w:hAnsi="Arial" w:cs="Arial"/>
          <w:sz w:val="24"/>
          <w:szCs w:val="24"/>
        </w:rPr>
        <w:t xml:space="preserve">nforme concluye que </w:t>
      </w:r>
      <w:r>
        <w:rPr>
          <w:rFonts w:ascii="Arial" w:hAnsi="Arial" w:cs="Arial"/>
          <w:sz w:val="24"/>
          <w:szCs w:val="24"/>
        </w:rPr>
        <w:t>“se</w:t>
      </w:r>
      <w:r w:rsidRPr="006E41FA">
        <w:rPr>
          <w:rFonts w:ascii="Arial" w:hAnsi="Arial" w:cs="Arial"/>
          <w:sz w:val="24"/>
          <w:szCs w:val="24"/>
        </w:rPr>
        <w:t xml:space="preserve"> calcula que los países en desarrollo ya han gastado este año 379 mil millones de dólares de sus reservas para defender sus monedas, casi el doble de la cantidad de nuevos Derechos Especiales de Giro (DEG) que les ha asignado recientemente el Fondo Monetario Internacional</w:t>
      </w:r>
      <w:r w:rsidR="0083540E">
        <w:rPr>
          <w:rFonts w:ascii="Arial" w:hAnsi="Arial" w:cs="Arial"/>
          <w:sz w:val="24"/>
          <w:szCs w:val="24"/>
        </w:rPr>
        <w:t>”. Ello es producto de la suba de las tasas de interés en los países centrales y el vuelo a la calidad de l</w:t>
      </w:r>
      <w:r w:rsidR="007939C8">
        <w:rPr>
          <w:rFonts w:ascii="Arial" w:hAnsi="Arial" w:cs="Arial"/>
          <w:sz w:val="24"/>
          <w:szCs w:val="24"/>
        </w:rPr>
        <w:t>o</w:t>
      </w:r>
      <w:r w:rsidR="0083540E">
        <w:rPr>
          <w:rFonts w:ascii="Arial" w:hAnsi="Arial" w:cs="Arial"/>
          <w:sz w:val="24"/>
          <w:szCs w:val="24"/>
        </w:rPr>
        <w:t>s capitales especulativos, acelerando la fuga de capitales.</w:t>
      </w:r>
      <w:r w:rsidRPr="006E41FA">
        <w:rPr>
          <w:rFonts w:ascii="Arial" w:hAnsi="Arial" w:cs="Arial"/>
          <w:sz w:val="24"/>
          <w:szCs w:val="24"/>
        </w:rPr>
        <w:t xml:space="preserve"> </w:t>
      </w:r>
    </w:p>
    <w:p w14:paraId="03884CD3" w14:textId="57BDBA8B" w:rsidR="006E41FA" w:rsidRPr="006E41FA" w:rsidRDefault="00A533E9" w:rsidP="006E41FA">
      <w:pPr>
        <w:spacing w:after="120" w:line="288" w:lineRule="auto"/>
        <w:jc w:val="both"/>
        <w:rPr>
          <w:rFonts w:ascii="Arial" w:hAnsi="Arial" w:cs="Arial"/>
          <w:b/>
          <w:bCs/>
          <w:sz w:val="24"/>
          <w:szCs w:val="24"/>
        </w:rPr>
      </w:pPr>
      <w:r w:rsidRPr="007939C8">
        <w:rPr>
          <w:rFonts w:ascii="Arial" w:hAnsi="Arial" w:cs="Arial"/>
          <w:b/>
          <w:bCs/>
          <w:spacing w:val="-5"/>
          <w:sz w:val="24"/>
          <w:szCs w:val="24"/>
          <w:shd w:val="clear" w:color="auto" w:fill="FFFFFF"/>
        </w:rPr>
        <w:t xml:space="preserve">La principal recomendación que realiza la UNCTAD en el Informe </w:t>
      </w:r>
      <w:r w:rsidR="0083540E" w:rsidRPr="007939C8">
        <w:rPr>
          <w:rFonts w:ascii="Arial" w:hAnsi="Arial" w:cs="Arial"/>
          <w:b/>
          <w:bCs/>
          <w:spacing w:val="-5"/>
          <w:sz w:val="24"/>
          <w:szCs w:val="24"/>
          <w:shd w:val="clear" w:color="auto" w:fill="FFFFFF"/>
        </w:rPr>
        <w:t xml:space="preserve">citado es que </w:t>
      </w:r>
      <w:r w:rsidR="00F20457">
        <w:rPr>
          <w:rFonts w:ascii="Arial" w:hAnsi="Arial" w:cs="Arial"/>
          <w:b/>
          <w:bCs/>
          <w:spacing w:val="-5"/>
          <w:sz w:val="24"/>
          <w:szCs w:val="24"/>
          <w:shd w:val="clear" w:color="auto" w:fill="FFFFFF"/>
        </w:rPr>
        <w:t>“</w:t>
      </w:r>
      <w:r w:rsidR="0083540E" w:rsidRPr="007939C8">
        <w:rPr>
          <w:rFonts w:ascii="Arial" w:hAnsi="Arial" w:cs="Arial"/>
          <w:b/>
          <w:bCs/>
          <w:sz w:val="24"/>
          <w:szCs w:val="24"/>
        </w:rPr>
        <w:t xml:space="preserve">resulta </w:t>
      </w:r>
      <w:r w:rsidRPr="007939C8">
        <w:rPr>
          <w:rFonts w:ascii="Arial" w:hAnsi="Arial" w:cs="Arial"/>
          <w:b/>
          <w:bCs/>
          <w:sz w:val="24"/>
          <w:szCs w:val="24"/>
        </w:rPr>
        <w:t>prioritario avanzar en un marco jurídico multilateral para gestionar la reestructuración de la deuda, incluyendo a todos los acreedores oficiales y privados</w:t>
      </w:r>
      <w:r w:rsidR="00F20457">
        <w:rPr>
          <w:rFonts w:ascii="Arial" w:hAnsi="Arial" w:cs="Arial"/>
          <w:b/>
          <w:bCs/>
          <w:sz w:val="24"/>
          <w:szCs w:val="24"/>
        </w:rPr>
        <w:t>”</w:t>
      </w:r>
      <w:r w:rsidRPr="007939C8">
        <w:rPr>
          <w:rFonts w:ascii="Arial" w:hAnsi="Arial" w:cs="Arial"/>
          <w:b/>
          <w:bCs/>
          <w:sz w:val="24"/>
          <w:szCs w:val="24"/>
        </w:rPr>
        <w:t>.</w:t>
      </w:r>
    </w:p>
    <w:p w14:paraId="7D86ED7C" w14:textId="75CC2349" w:rsidR="00C42317" w:rsidRPr="00C42317" w:rsidRDefault="0083540E" w:rsidP="003C2434">
      <w:pPr>
        <w:spacing w:after="120" w:line="288" w:lineRule="auto"/>
        <w:jc w:val="both"/>
        <w:rPr>
          <w:rFonts w:ascii="Arial" w:hAnsi="Arial" w:cs="Arial"/>
          <w:sz w:val="24"/>
          <w:szCs w:val="24"/>
        </w:rPr>
      </w:pPr>
      <w:r>
        <w:rPr>
          <w:rFonts w:ascii="Arial" w:hAnsi="Arial" w:cs="Arial"/>
          <w:sz w:val="24"/>
          <w:szCs w:val="24"/>
        </w:rPr>
        <w:t>Es por ello, Señora Presidenta, que, ante el sombrío panorama internacional relacionado con las deudas externas de los países y a</w:t>
      </w:r>
      <w:r w:rsidR="00D62407">
        <w:rPr>
          <w:rFonts w:ascii="Arial" w:hAnsi="Arial" w:cs="Arial"/>
          <w:sz w:val="24"/>
          <w:szCs w:val="24"/>
        </w:rPr>
        <w:t>nte la eventualidad de situaciones similares en el futuro</w:t>
      </w:r>
      <w:r>
        <w:rPr>
          <w:rFonts w:ascii="Arial" w:hAnsi="Arial" w:cs="Arial"/>
          <w:sz w:val="24"/>
          <w:szCs w:val="24"/>
        </w:rPr>
        <w:t xml:space="preserve">, </w:t>
      </w:r>
      <w:r w:rsidR="00F20457">
        <w:rPr>
          <w:rFonts w:ascii="Arial" w:hAnsi="Arial" w:cs="Arial"/>
          <w:sz w:val="24"/>
          <w:szCs w:val="24"/>
        </w:rPr>
        <w:t xml:space="preserve">y siguiendo las acciones que ya han tomado varios países del mundo, </w:t>
      </w:r>
      <w:r w:rsidR="00D62407">
        <w:rPr>
          <w:rFonts w:ascii="Arial" w:hAnsi="Arial" w:cs="Arial"/>
          <w:sz w:val="24"/>
          <w:szCs w:val="24"/>
        </w:rPr>
        <w:t xml:space="preserve">hemos decidido impulsar el presente Proyecto de Ley, que entendemos puede significar una mayor protección frente a maniobras </w:t>
      </w:r>
      <w:r>
        <w:rPr>
          <w:rFonts w:ascii="Arial" w:hAnsi="Arial" w:cs="Arial"/>
          <w:sz w:val="24"/>
          <w:szCs w:val="24"/>
        </w:rPr>
        <w:t xml:space="preserve">financieras </w:t>
      </w:r>
      <w:r w:rsidR="00D62407">
        <w:rPr>
          <w:rFonts w:ascii="Arial" w:hAnsi="Arial" w:cs="Arial"/>
          <w:sz w:val="24"/>
          <w:szCs w:val="24"/>
        </w:rPr>
        <w:t>especulativas.</w:t>
      </w:r>
    </w:p>
    <w:sectPr w:rsidR="00C42317" w:rsidRPr="00C42317">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1D1EB" w14:textId="77777777" w:rsidR="00F34D5F" w:rsidRDefault="00F34D5F" w:rsidP="0083136E">
      <w:pPr>
        <w:spacing w:after="0" w:line="240" w:lineRule="auto"/>
      </w:pPr>
      <w:r>
        <w:separator/>
      </w:r>
    </w:p>
  </w:endnote>
  <w:endnote w:type="continuationSeparator" w:id="0">
    <w:p w14:paraId="2138D1F3" w14:textId="77777777" w:rsidR="00F34D5F" w:rsidRDefault="00F34D5F" w:rsidP="0083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CC0F" w14:textId="77777777" w:rsidR="00F34D5F" w:rsidRDefault="00F34D5F" w:rsidP="0083136E">
      <w:pPr>
        <w:spacing w:after="0" w:line="240" w:lineRule="auto"/>
      </w:pPr>
      <w:r>
        <w:separator/>
      </w:r>
    </w:p>
  </w:footnote>
  <w:footnote w:type="continuationSeparator" w:id="0">
    <w:p w14:paraId="5AA85502" w14:textId="77777777" w:rsidR="00F34D5F" w:rsidRDefault="00F34D5F" w:rsidP="0083136E">
      <w:pPr>
        <w:spacing w:after="0" w:line="240" w:lineRule="auto"/>
      </w:pPr>
      <w:r>
        <w:continuationSeparator/>
      </w:r>
    </w:p>
  </w:footnote>
  <w:footnote w:id="1">
    <w:p w14:paraId="23928FAF" w14:textId="29E32E8B" w:rsidR="00B413C0" w:rsidRDefault="00B413C0" w:rsidP="0088593E">
      <w:pPr>
        <w:pStyle w:val="Notaalpie"/>
        <w:jc w:val="both"/>
      </w:pPr>
      <w:r>
        <w:rPr>
          <w:rStyle w:val="Ninguno"/>
          <w:vertAlign w:val="superscript"/>
        </w:rPr>
        <w:footnoteRef/>
      </w:r>
      <w:r>
        <w:rPr>
          <w:rFonts w:eastAsia="Arial Unicode MS" w:cs="Arial Unicode MS"/>
        </w:rPr>
        <w:t xml:space="preserve"> </w:t>
      </w:r>
      <w:r>
        <w:rPr>
          <w:rStyle w:val="Ninguno"/>
          <w:rFonts w:eastAsia="Arial Unicode MS" w:cs="Arial Unicode MS"/>
          <w:sz w:val="18"/>
          <w:szCs w:val="18"/>
          <w:lang w:val="es-ES_tradnl"/>
        </w:rPr>
        <w:t xml:space="preserve">La </w:t>
      </w:r>
      <w:proofErr w:type="spellStart"/>
      <w:r>
        <w:rPr>
          <w:rStyle w:val="Ninguno"/>
          <w:rFonts w:eastAsia="Arial Unicode MS" w:cs="Arial Unicode MS"/>
          <w:sz w:val="18"/>
          <w:szCs w:val="18"/>
          <w:lang w:val="es-ES_tradnl"/>
        </w:rPr>
        <w:t>legislaci</w:t>
      </w:r>
      <w:proofErr w:type="spellEnd"/>
      <w:r>
        <w:rPr>
          <w:rStyle w:val="Ninguno"/>
          <w:rFonts w:eastAsia="Arial Unicode MS" w:cs="Arial Unicode MS"/>
          <w:sz w:val="18"/>
          <w:szCs w:val="18"/>
        </w:rPr>
        <w:t>ó</w:t>
      </w:r>
      <w:r>
        <w:rPr>
          <w:rStyle w:val="Ninguno"/>
          <w:rFonts w:eastAsia="Arial Unicode MS" w:cs="Arial Unicode MS"/>
          <w:sz w:val="18"/>
          <w:szCs w:val="18"/>
          <w:lang w:val="es-ES_tradnl"/>
        </w:rPr>
        <w:t xml:space="preserve">n fue revisada tras la </w:t>
      </w:r>
      <w:proofErr w:type="spellStart"/>
      <w:r>
        <w:rPr>
          <w:rStyle w:val="Ninguno"/>
          <w:rFonts w:eastAsia="Arial Unicode MS" w:cs="Arial Unicode MS"/>
          <w:sz w:val="18"/>
          <w:szCs w:val="18"/>
          <w:lang w:val="es-ES_tradnl"/>
        </w:rPr>
        <w:t>introducci</w:t>
      </w:r>
      <w:proofErr w:type="spellEnd"/>
      <w:r>
        <w:rPr>
          <w:rStyle w:val="Ninguno"/>
          <w:rFonts w:eastAsia="Arial Unicode MS" w:cs="Arial Unicode MS"/>
          <w:sz w:val="18"/>
          <w:szCs w:val="18"/>
        </w:rPr>
        <w:t>ó</w:t>
      </w:r>
      <w:r>
        <w:rPr>
          <w:rStyle w:val="Ninguno"/>
          <w:rFonts w:eastAsia="Arial Unicode MS" w:cs="Arial Unicode MS"/>
          <w:sz w:val="18"/>
          <w:szCs w:val="18"/>
          <w:lang w:val="es-ES_tradnl"/>
        </w:rPr>
        <w:t xml:space="preserve">n de la Ley de Transparencia, </w:t>
      </w:r>
      <w:proofErr w:type="spellStart"/>
      <w:r>
        <w:rPr>
          <w:rStyle w:val="Ninguno"/>
          <w:rFonts w:eastAsia="Arial Unicode MS" w:cs="Arial Unicode MS"/>
          <w:sz w:val="18"/>
          <w:szCs w:val="18"/>
          <w:lang w:val="es-ES_tradnl"/>
        </w:rPr>
        <w:t>Anticorrupci</w:t>
      </w:r>
      <w:proofErr w:type="spellEnd"/>
      <w:r>
        <w:rPr>
          <w:rStyle w:val="Ninguno"/>
          <w:rFonts w:eastAsia="Arial Unicode MS" w:cs="Arial Unicode MS"/>
          <w:sz w:val="18"/>
          <w:szCs w:val="18"/>
        </w:rPr>
        <w:t>ó</w:t>
      </w:r>
      <w:r>
        <w:rPr>
          <w:rStyle w:val="Ninguno"/>
          <w:rFonts w:eastAsia="Arial Unicode MS" w:cs="Arial Unicode MS"/>
          <w:sz w:val="18"/>
          <w:szCs w:val="18"/>
          <w:lang w:val="es-ES_tradnl"/>
        </w:rPr>
        <w:t xml:space="preserve">n y </w:t>
      </w:r>
      <w:proofErr w:type="spellStart"/>
      <w:r>
        <w:rPr>
          <w:rStyle w:val="Ninguno"/>
          <w:rFonts w:eastAsia="Arial Unicode MS" w:cs="Arial Unicode MS"/>
          <w:sz w:val="18"/>
          <w:szCs w:val="18"/>
          <w:lang w:val="es-ES_tradnl"/>
        </w:rPr>
        <w:t>Modernizaci</w:t>
      </w:r>
      <w:proofErr w:type="spellEnd"/>
      <w:r>
        <w:rPr>
          <w:rStyle w:val="Ninguno"/>
          <w:rFonts w:eastAsia="Arial Unicode MS" w:cs="Arial Unicode MS"/>
          <w:sz w:val="18"/>
          <w:szCs w:val="18"/>
        </w:rPr>
        <w:t>ó</w:t>
      </w:r>
      <w:r>
        <w:rPr>
          <w:rStyle w:val="Ninguno"/>
          <w:rFonts w:eastAsia="Arial Unicode MS" w:cs="Arial Unicode MS"/>
          <w:sz w:val="18"/>
          <w:szCs w:val="18"/>
          <w:lang w:val="es-ES_tradnl"/>
        </w:rPr>
        <w:t xml:space="preserve">n de la Vida </w:t>
      </w:r>
      <w:proofErr w:type="spellStart"/>
      <w:r>
        <w:rPr>
          <w:rStyle w:val="Ninguno"/>
          <w:rFonts w:eastAsia="Arial Unicode MS" w:cs="Arial Unicode MS"/>
          <w:sz w:val="18"/>
          <w:szCs w:val="18"/>
          <w:lang w:val="es-ES_tradnl"/>
        </w:rPr>
        <w:t>Econ</w:t>
      </w:r>
      <w:proofErr w:type="spellEnd"/>
      <w:r>
        <w:rPr>
          <w:rStyle w:val="Ninguno"/>
          <w:rFonts w:eastAsia="Arial Unicode MS" w:cs="Arial Unicode MS"/>
          <w:sz w:val="18"/>
          <w:szCs w:val="18"/>
        </w:rPr>
        <w:t>ó</w:t>
      </w:r>
      <w:r>
        <w:rPr>
          <w:rStyle w:val="Ninguno"/>
          <w:rFonts w:eastAsia="Arial Unicode MS" w:cs="Arial Unicode MS"/>
          <w:sz w:val="18"/>
          <w:szCs w:val="18"/>
          <w:lang w:val="es-ES_tradnl"/>
        </w:rPr>
        <w:t xml:space="preserve">mica N° 2016-1691 del 8 de noviembre de 2016. (conocida como </w:t>
      </w:r>
      <w:proofErr w:type="spellStart"/>
      <w:r>
        <w:rPr>
          <w:rStyle w:val="Ninguno"/>
          <w:rFonts w:eastAsia="Arial Unicode MS" w:cs="Arial Unicode MS"/>
          <w:sz w:val="18"/>
          <w:szCs w:val="18"/>
          <w:lang w:val="es-ES_tradnl"/>
        </w:rPr>
        <w:t>Loi</w:t>
      </w:r>
      <w:proofErr w:type="spellEnd"/>
      <w:r>
        <w:rPr>
          <w:rStyle w:val="Ninguno"/>
          <w:rFonts w:eastAsia="Arial Unicode MS" w:cs="Arial Unicode MS"/>
          <w:sz w:val="18"/>
          <w:szCs w:val="18"/>
          <w:lang w:val="es-ES_tradnl"/>
        </w:rPr>
        <w:t xml:space="preserve"> </w:t>
      </w:r>
      <w:proofErr w:type="spellStart"/>
      <w:r>
        <w:rPr>
          <w:rStyle w:val="Ninguno"/>
          <w:rFonts w:eastAsia="Arial Unicode MS" w:cs="Arial Unicode MS"/>
          <w:sz w:val="18"/>
          <w:szCs w:val="18"/>
          <w:lang w:val="es-ES_tradnl"/>
        </w:rPr>
        <w:t>Sapin</w:t>
      </w:r>
      <w:proofErr w:type="spellEnd"/>
      <w:r>
        <w:rPr>
          <w:rStyle w:val="Ninguno"/>
          <w:rFonts w:eastAsia="Arial Unicode MS" w:cs="Arial Unicode MS"/>
          <w:sz w:val="18"/>
          <w:szCs w:val="18"/>
          <w:lang w:val="es-ES_tradnl"/>
        </w:rPr>
        <w:t xml:space="preserve"> 2). 1</w:t>
      </w:r>
    </w:p>
  </w:footnote>
  <w:footnote w:id="2">
    <w:p w14:paraId="24D65498" w14:textId="77777777" w:rsidR="00B413C0" w:rsidRDefault="00B413C0" w:rsidP="0088593E">
      <w:pPr>
        <w:pStyle w:val="Notaalpie"/>
        <w:jc w:val="both"/>
        <w:rPr>
          <w:rStyle w:val="Ninguno"/>
          <w:rFonts w:eastAsia="Arial Unicode MS" w:cs="Arial Unicode MS"/>
          <w:sz w:val="18"/>
          <w:szCs w:val="18"/>
          <w:lang w:val="es-ES_tradnl"/>
        </w:rPr>
      </w:pPr>
      <w:r>
        <w:rPr>
          <w:rStyle w:val="Ninguno"/>
          <w:vertAlign w:val="superscript"/>
        </w:rPr>
        <w:footnoteRef/>
      </w:r>
      <w:r>
        <w:rPr>
          <w:rFonts w:eastAsia="Arial Unicode MS" w:cs="Arial Unicode MS"/>
        </w:rPr>
        <w:t xml:space="preserve"> </w:t>
      </w:r>
      <w:r>
        <w:rPr>
          <w:rStyle w:val="Ninguno"/>
          <w:rFonts w:eastAsia="Arial Unicode MS" w:cs="Arial Unicode MS"/>
          <w:sz w:val="18"/>
          <w:szCs w:val="18"/>
          <w:lang w:val="es-ES_tradnl"/>
        </w:rPr>
        <w:t>Las condiciones de la ley reflejan en gran medida los art</w:t>
      </w:r>
      <w:r>
        <w:rPr>
          <w:rStyle w:val="Ninguno"/>
          <w:rFonts w:eastAsia="Arial Unicode MS" w:cs="Arial Unicode MS"/>
          <w:sz w:val="18"/>
          <w:szCs w:val="18"/>
        </w:rPr>
        <w:t>í</w:t>
      </w:r>
      <w:r>
        <w:rPr>
          <w:rStyle w:val="Ninguno"/>
          <w:rFonts w:eastAsia="Arial Unicode MS" w:cs="Arial Unicode MS"/>
          <w:sz w:val="18"/>
          <w:szCs w:val="18"/>
          <w:lang w:val="es-ES_tradnl"/>
        </w:rPr>
        <w:t xml:space="preserve">culos 18, 19 y 21 de la </w:t>
      </w:r>
      <w:proofErr w:type="spellStart"/>
      <w:r>
        <w:rPr>
          <w:rStyle w:val="Ninguno"/>
          <w:rFonts w:eastAsia="Arial Unicode MS" w:cs="Arial Unicode MS"/>
          <w:sz w:val="18"/>
          <w:szCs w:val="18"/>
          <w:lang w:val="es-ES_tradnl"/>
        </w:rPr>
        <w:t>Convenci</w:t>
      </w:r>
      <w:proofErr w:type="spellEnd"/>
      <w:r>
        <w:rPr>
          <w:rStyle w:val="Ninguno"/>
          <w:rFonts w:eastAsia="Arial Unicode MS" w:cs="Arial Unicode MS"/>
          <w:sz w:val="18"/>
          <w:szCs w:val="18"/>
        </w:rPr>
        <w:t>ó</w:t>
      </w:r>
      <w:r>
        <w:rPr>
          <w:rStyle w:val="Ninguno"/>
          <w:rFonts w:eastAsia="Arial Unicode MS" w:cs="Arial Unicode MS"/>
          <w:sz w:val="18"/>
          <w:szCs w:val="18"/>
          <w:lang w:val="es-ES_tradnl"/>
        </w:rPr>
        <w:t>n de las Naciones Unidas sobre inmunidades jurisdiccionales de los Esta</w:t>
      </w:r>
    </w:p>
    <w:p w14:paraId="489EE033" w14:textId="5B494484" w:rsidR="00B413C0" w:rsidRDefault="00B413C0" w:rsidP="0088593E">
      <w:pPr>
        <w:pStyle w:val="Notaalpie"/>
        <w:jc w:val="both"/>
      </w:pPr>
      <w:r>
        <w:rPr>
          <w:rStyle w:val="Ninguno"/>
          <w:rFonts w:eastAsia="Arial Unicode MS" w:cs="Arial Unicode MS"/>
          <w:sz w:val="18"/>
          <w:szCs w:val="18"/>
          <w:lang w:val="es-ES_tradnl"/>
        </w:rPr>
        <w:t>dos y sus bienes firmada el 2 de diciembre de 2004</w:t>
      </w:r>
    </w:p>
  </w:footnote>
  <w:footnote w:id="3">
    <w:p w14:paraId="120BE424" w14:textId="622E7E68" w:rsidR="00B413C0" w:rsidRDefault="00B413C0" w:rsidP="003B7D88">
      <w:pPr>
        <w:pStyle w:val="Notaalpie"/>
        <w:jc w:val="both"/>
      </w:pPr>
      <w:r>
        <w:rPr>
          <w:rStyle w:val="Ninguno"/>
          <w:vertAlign w:val="superscript"/>
        </w:rPr>
        <w:footnoteRef/>
      </w:r>
      <w:r>
        <w:rPr>
          <w:rFonts w:eastAsia="Arial Unicode MS" w:cs="Arial Unicode MS"/>
        </w:rPr>
        <w:t xml:space="preserve"> </w:t>
      </w:r>
      <w:proofErr w:type="spellStart"/>
      <w:r>
        <w:rPr>
          <w:rStyle w:val="Ninguno"/>
          <w:rFonts w:eastAsia="Arial Unicode MS" w:cs="Arial Unicode MS"/>
          <w:sz w:val="18"/>
          <w:szCs w:val="18"/>
          <w:lang w:val="en-US"/>
        </w:rPr>
        <w:t>Conceil</w:t>
      </w:r>
      <w:proofErr w:type="spellEnd"/>
      <w:r>
        <w:rPr>
          <w:rStyle w:val="Ninguno"/>
          <w:rFonts w:eastAsia="Arial Unicode MS" w:cs="Arial Unicode MS"/>
          <w:sz w:val="18"/>
          <w:szCs w:val="18"/>
          <w:lang w:val="en-US"/>
        </w:rPr>
        <w:t xml:space="preserve"> </w:t>
      </w:r>
      <w:proofErr w:type="spellStart"/>
      <w:r>
        <w:rPr>
          <w:rStyle w:val="Ninguno"/>
          <w:rFonts w:eastAsia="Arial Unicode MS" w:cs="Arial Unicode MS"/>
          <w:sz w:val="18"/>
          <w:szCs w:val="18"/>
          <w:lang w:val="en-US"/>
        </w:rPr>
        <w:t>Constitutionelle</w:t>
      </w:r>
      <w:proofErr w:type="spellEnd"/>
      <w:r>
        <w:rPr>
          <w:rStyle w:val="Ninguno"/>
          <w:rFonts w:eastAsia="Arial Unicode MS" w:cs="Arial Unicode MS"/>
          <w:sz w:val="18"/>
          <w:szCs w:val="18"/>
          <w:lang w:val="en-US"/>
        </w:rPr>
        <w:t xml:space="preserve">, </w:t>
      </w:r>
      <w:proofErr w:type="spellStart"/>
      <w:r>
        <w:rPr>
          <w:rStyle w:val="Ninguno"/>
          <w:rFonts w:eastAsia="Arial Unicode MS" w:cs="Arial Unicode MS"/>
          <w:sz w:val="18"/>
          <w:szCs w:val="18"/>
          <w:lang w:val="en-US"/>
        </w:rPr>
        <w:t>Decisi</w:t>
      </w:r>
      <w:r>
        <w:rPr>
          <w:rStyle w:val="Ninguno"/>
          <w:rFonts w:eastAsia="Arial Unicode MS" w:cs="Arial Unicode MS"/>
          <w:sz w:val="18"/>
          <w:szCs w:val="18"/>
        </w:rPr>
        <w:t>ón</w:t>
      </w:r>
      <w:proofErr w:type="spellEnd"/>
      <w:r>
        <w:rPr>
          <w:rStyle w:val="Ninguno"/>
          <w:rFonts w:eastAsia="Arial Unicode MS" w:cs="Arial Unicode MS"/>
          <w:sz w:val="18"/>
          <w:szCs w:val="18"/>
        </w:rPr>
        <w:t xml:space="preserve"> n</w:t>
      </w:r>
      <w:r>
        <w:rPr>
          <w:rStyle w:val="Ninguno"/>
          <w:rFonts w:eastAsia="Arial Unicode MS" w:cs="Arial Unicode MS"/>
          <w:sz w:val="18"/>
          <w:szCs w:val="18"/>
          <w:lang w:val="it-IT"/>
        </w:rPr>
        <w:t xml:space="preserve">° </w:t>
      </w:r>
      <w:r>
        <w:rPr>
          <w:rStyle w:val="Ninguno"/>
          <w:rFonts w:eastAsia="Arial Unicode MS" w:cs="Arial Unicode MS"/>
          <w:sz w:val="18"/>
          <w:szCs w:val="18"/>
          <w:lang w:val="es-ES_tradnl"/>
        </w:rPr>
        <w:t xml:space="preserve">2016-741 DC du 8 de diciembre de 2016 [Francia]  </w:t>
      </w:r>
      <w:r>
        <w:rPr>
          <w:rStyle w:val="Ninguno"/>
          <w:rFonts w:eastAsia="Arial Unicode MS" w:cs="Arial Unicode MS"/>
          <w:sz w:val="18"/>
          <w:szCs w:val="18"/>
          <w:lang w:val="fr-FR"/>
        </w:rPr>
        <w:t xml:space="preserve"> </w:t>
      </w:r>
      <w:hyperlink r:id="rId1" w:history="1">
        <w:r w:rsidRPr="00215955">
          <w:rPr>
            <w:rStyle w:val="Hipervnculo"/>
            <w:rFonts w:eastAsia="Arial Unicode MS" w:cs="Arial Unicode MS"/>
            <w:sz w:val="18"/>
            <w:szCs w:val="18"/>
            <w:lang w:val="fr-FR"/>
          </w:rPr>
          <w:t>http://www.conseil-constitutionnel.fr/conseil-constitutionnel/francais/les-decisions/acces-par-</w:t>
        </w:r>
      </w:hyperlink>
      <w:r>
        <w:rPr>
          <w:rStyle w:val="Ninguno"/>
          <w:rFonts w:eastAsia="Arial Unicode MS" w:cs="Arial Unicode MS"/>
          <w:sz w:val="18"/>
          <w:szCs w:val="18"/>
          <w:lang w:val="fr-FR"/>
        </w:rPr>
        <w:t xml:space="preserve"> </w:t>
      </w:r>
      <w:proofErr w:type="spellStart"/>
      <w:r>
        <w:rPr>
          <w:rStyle w:val="Ninguno"/>
          <w:rFonts w:eastAsia="Arial Unicode MS" w:cs="Arial Unicode MS"/>
          <w:sz w:val="18"/>
          <w:szCs w:val="18"/>
          <w:lang w:val="fr-FR"/>
        </w:rPr>
        <w:t>ate</w:t>
      </w:r>
      <w:proofErr w:type="spellEnd"/>
      <w:r>
        <w:rPr>
          <w:rStyle w:val="Ninguno"/>
          <w:rFonts w:eastAsia="Arial Unicode MS" w:cs="Arial Unicode MS"/>
          <w:sz w:val="18"/>
          <w:szCs w:val="18"/>
          <w:lang w:val="fr-FR"/>
        </w:rPr>
        <w:t>/</w:t>
      </w:r>
      <w:proofErr w:type="spellStart"/>
      <w:r>
        <w:rPr>
          <w:rStyle w:val="Ninguno"/>
          <w:rFonts w:eastAsia="Arial Unicode MS" w:cs="Arial Unicode MS"/>
          <w:sz w:val="18"/>
          <w:szCs w:val="18"/>
          <w:lang w:val="fr-FR"/>
        </w:rPr>
        <w:t>decisions</w:t>
      </w:r>
      <w:proofErr w:type="spellEnd"/>
      <w:r>
        <w:rPr>
          <w:rStyle w:val="Ninguno"/>
          <w:rFonts w:eastAsia="Arial Unicode MS" w:cs="Arial Unicode MS"/>
          <w:sz w:val="18"/>
          <w:szCs w:val="18"/>
          <w:lang w:val="fr-FR"/>
        </w:rPr>
        <w:t xml:space="preserve">-depuis- 1959/2016/2016-741-dc/decision-n-2016-741-dc-du-8-diciembre-2016.148310.html </w:t>
      </w:r>
    </w:p>
  </w:footnote>
  <w:footnote w:id="4">
    <w:p w14:paraId="5E153258" w14:textId="77777777" w:rsidR="00B413C0" w:rsidRDefault="00B413C0" w:rsidP="002D2F61">
      <w:pPr>
        <w:pStyle w:val="Notaalpie"/>
        <w:jc w:val="both"/>
        <w:rPr>
          <w:rStyle w:val="Ninguno"/>
          <w:sz w:val="18"/>
          <w:szCs w:val="18"/>
        </w:rPr>
      </w:pPr>
      <w:r>
        <w:rPr>
          <w:rStyle w:val="Ninguno"/>
          <w:vertAlign w:val="superscript"/>
        </w:rPr>
        <w:footnoteRef/>
      </w:r>
      <w:r>
        <w:rPr>
          <w:rFonts w:eastAsia="Arial Unicode MS" w:cs="Arial Unicode MS"/>
        </w:rPr>
        <w:t xml:space="preserve"> </w:t>
      </w:r>
      <w:r>
        <w:rPr>
          <w:rStyle w:val="Ninguno"/>
          <w:rFonts w:eastAsia="Arial Unicode MS" w:cs="Arial Unicode MS"/>
          <w:sz w:val="18"/>
          <w:szCs w:val="18"/>
          <w:lang w:val="pt-PT"/>
        </w:rPr>
        <w:t>Seg</w:t>
      </w:r>
      <w:r>
        <w:rPr>
          <w:rStyle w:val="Ninguno"/>
          <w:rFonts w:eastAsia="Arial Unicode MS" w:cs="Arial Unicode MS"/>
          <w:sz w:val="18"/>
          <w:szCs w:val="18"/>
        </w:rPr>
        <w:t>ú</w:t>
      </w:r>
      <w:r>
        <w:rPr>
          <w:rStyle w:val="Ninguno"/>
          <w:rFonts w:eastAsia="Arial Unicode MS" w:cs="Arial Unicode MS"/>
          <w:sz w:val="18"/>
          <w:szCs w:val="18"/>
          <w:lang w:val="es-ES_tradnl"/>
        </w:rPr>
        <w:t xml:space="preserve">n </w:t>
      </w:r>
      <w:proofErr w:type="gramStart"/>
      <w:r>
        <w:rPr>
          <w:rStyle w:val="Ninguno"/>
          <w:rFonts w:eastAsia="Arial Unicode MS" w:cs="Arial Unicode MS"/>
          <w:sz w:val="18"/>
          <w:szCs w:val="18"/>
          <w:lang w:val="es-ES_tradnl"/>
        </w:rPr>
        <w:t>el</w:t>
      </w:r>
      <w:proofErr w:type="gramEnd"/>
      <w:r>
        <w:rPr>
          <w:rStyle w:val="Ninguno"/>
          <w:rFonts w:eastAsia="Arial Unicode MS" w:cs="Arial Unicode MS"/>
          <w:sz w:val="18"/>
          <w:szCs w:val="18"/>
          <w:lang w:val="es-ES_tradnl"/>
        </w:rPr>
        <w:t xml:space="preserve"> artículo 12, apartado 3, del Tratado del Mecanismo Europeo de Estabilidad, </w:t>
      </w:r>
      <w:r>
        <w:rPr>
          <w:rStyle w:val="Ninguno"/>
          <w:rFonts w:eastAsia="Arial Unicode MS" w:cs="Arial Unicode MS"/>
          <w:sz w:val="18"/>
          <w:szCs w:val="18"/>
          <w:lang w:val="fr-FR"/>
        </w:rPr>
        <w:t>«</w:t>
      </w:r>
      <w:r>
        <w:rPr>
          <w:rStyle w:val="Ninguno"/>
          <w:rFonts w:eastAsia="Arial Unicode MS" w:cs="Arial Unicode MS"/>
          <w:sz w:val="18"/>
          <w:szCs w:val="18"/>
          <w:lang w:val="es-ES_tradnl"/>
        </w:rPr>
        <w:t>a partir del 1 de enero de 2013, se incluir</w:t>
      </w:r>
      <w:proofErr w:type="spellStart"/>
      <w:r>
        <w:rPr>
          <w:rStyle w:val="Ninguno"/>
          <w:rFonts w:eastAsia="Arial Unicode MS" w:cs="Arial Unicode MS"/>
          <w:sz w:val="18"/>
          <w:szCs w:val="18"/>
        </w:rPr>
        <w:t>án</w:t>
      </w:r>
      <w:proofErr w:type="spellEnd"/>
      <w:r>
        <w:rPr>
          <w:rStyle w:val="Ninguno"/>
          <w:rFonts w:eastAsia="Arial Unicode MS" w:cs="Arial Unicode MS"/>
          <w:sz w:val="18"/>
          <w:szCs w:val="18"/>
        </w:rPr>
        <w:t xml:space="preserve"> </w:t>
      </w:r>
      <w:proofErr w:type="spellStart"/>
      <w:r>
        <w:rPr>
          <w:rStyle w:val="Ninguno"/>
          <w:rFonts w:eastAsia="Arial Unicode MS" w:cs="Arial Unicode MS"/>
          <w:sz w:val="18"/>
          <w:szCs w:val="18"/>
        </w:rPr>
        <w:t>clá</w:t>
      </w:r>
      <w:r>
        <w:rPr>
          <w:rStyle w:val="Ninguno"/>
          <w:rFonts w:eastAsia="Arial Unicode MS" w:cs="Arial Unicode MS"/>
          <w:sz w:val="18"/>
          <w:szCs w:val="18"/>
          <w:lang w:val="es-ES_tradnl"/>
        </w:rPr>
        <w:t>usulas</w:t>
      </w:r>
      <w:proofErr w:type="spellEnd"/>
      <w:r>
        <w:rPr>
          <w:rStyle w:val="Ninguno"/>
          <w:rFonts w:eastAsia="Arial Unicode MS" w:cs="Arial Unicode MS"/>
          <w:sz w:val="18"/>
          <w:szCs w:val="18"/>
          <w:lang w:val="es-ES_tradnl"/>
        </w:rPr>
        <w:t xml:space="preserve"> de </w:t>
      </w:r>
      <w:proofErr w:type="spellStart"/>
      <w:r>
        <w:rPr>
          <w:rStyle w:val="Ninguno"/>
          <w:rFonts w:eastAsia="Arial Unicode MS" w:cs="Arial Unicode MS"/>
          <w:sz w:val="18"/>
          <w:szCs w:val="18"/>
          <w:lang w:val="es-ES_tradnl"/>
        </w:rPr>
        <w:t>acci</w:t>
      </w:r>
      <w:proofErr w:type="spellEnd"/>
      <w:r>
        <w:rPr>
          <w:rStyle w:val="Ninguno"/>
          <w:rFonts w:eastAsia="Arial Unicode MS" w:cs="Arial Unicode MS"/>
          <w:sz w:val="18"/>
          <w:szCs w:val="18"/>
        </w:rPr>
        <w:t>ó</w:t>
      </w:r>
      <w:r>
        <w:rPr>
          <w:rStyle w:val="Ninguno"/>
          <w:rFonts w:eastAsia="Arial Unicode MS" w:cs="Arial Unicode MS"/>
          <w:sz w:val="18"/>
          <w:szCs w:val="18"/>
          <w:lang w:val="es-ES_tradnl"/>
        </w:rPr>
        <w:t>n colectiva en todos los valores p</w:t>
      </w:r>
      <w:r>
        <w:rPr>
          <w:rStyle w:val="Ninguno"/>
          <w:rFonts w:eastAsia="Arial Unicode MS" w:cs="Arial Unicode MS"/>
          <w:sz w:val="18"/>
          <w:szCs w:val="18"/>
        </w:rPr>
        <w:t>ú</w:t>
      </w:r>
      <w:proofErr w:type="spellStart"/>
      <w:r>
        <w:rPr>
          <w:rStyle w:val="Ninguno"/>
          <w:rFonts w:eastAsia="Arial Unicode MS" w:cs="Arial Unicode MS"/>
          <w:sz w:val="18"/>
          <w:szCs w:val="18"/>
          <w:lang w:val="es-ES_tradnl"/>
        </w:rPr>
        <w:t>blicos</w:t>
      </w:r>
      <w:proofErr w:type="spellEnd"/>
      <w:r>
        <w:rPr>
          <w:rStyle w:val="Ninguno"/>
          <w:rFonts w:eastAsia="Arial Unicode MS" w:cs="Arial Unicode MS"/>
          <w:sz w:val="18"/>
          <w:szCs w:val="18"/>
          <w:lang w:val="es-ES_tradnl"/>
        </w:rPr>
        <w:t xml:space="preserve"> nuevos de la zona del euro, con vencimiento superior a un año, de forma que se garantice que su impacto </w:t>
      </w:r>
      <w:proofErr w:type="spellStart"/>
      <w:r>
        <w:rPr>
          <w:rStyle w:val="Ninguno"/>
          <w:rFonts w:eastAsia="Arial Unicode MS" w:cs="Arial Unicode MS"/>
          <w:sz w:val="18"/>
          <w:szCs w:val="18"/>
          <w:lang w:val="es-ES_tradnl"/>
        </w:rPr>
        <w:t>jur</w:t>
      </w:r>
      <w:proofErr w:type="spellEnd"/>
      <w:r>
        <w:rPr>
          <w:rStyle w:val="Ninguno"/>
          <w:rFonts w:eastAsia="Arial Unicode MS" w:cs="Arial Unicode MS"/>
          <w:sz w:val="18"/>
          <w:szCs w:val="18"/>
        </w:rPr>
        <w:t>í</w:t>
      </w:r>
      <w:proofErr w:type="spellStart"/>
      <w:r>
        <w:rPr>
          <w:rStyle w:val="Ninguno"/>
          <w:rFonts w:eastAsia="Arial Unicode MS" w:cs="Arial Unicode MS"/>
          <w:sz w:val="18"/>
          <w:szCs w:val="18"/>
          <w:lang w:val="es-ES_tradnl"/>
        </w:rPr>
        <w:t>dico</w:t>
      </w:r>
      <w:proofErr w:type="spellEnd"/>
      <w:r>
        <w:rPr>
          <w:rStyle w:val="Ninguno"/>
          <w:rFonts w:eastAsia="Arial Unicode MS" w:cs="Arial Unicode MS"/>
          <w:sz w:val="18"/>
          <w:szCs w:val="18"/>
          <w:lang w:val="es-ES_tradnl"/>
        </w:rPr>
        <w:t xml:space="preserve"> es id</w:t>
      </w:r>
      <w:proofErr w:type="spellStart"/>
      <w:r>
        <w:rPr>
          <w:rStyle w:val="Ninguno"/>
          <w:rFonts w:eastAsia="Arial Unicode MS" w:cs="Arial Unicode MS"/>
          <w:sz w:val="18"/>
          <w:szCs w:val="18"/>
          <w:lang w:val="fr-FR"/>
        </w:rPr>
        <w:t>éntico</w:t>
      </w:r>
      <w:proofErr w:type="spellEnd"/>
      <w:r>
        <w:rPr>
          <w:rStyle w:val="Ninguno"/>
          <w:rFonts w:eastAsia="Arial Unicode MS" w:cs="Arial Unicode MS"/>
          <w:sz w:val="18"/>
          <w:szCs w:val="18"/>
          <w:lang w:val="it-IT"/>
        </w:rPr>
        <w:t>»</w:t>
      </w:r>
      <w:r>
        <w:rPr>
          <w:rStyle w:val="Ninguno"/>
          <w:rFonts w:eastAsia="Arial Unicode MS" w:cs="Arial Unicode MS"/>
          <w:sz w:val="18"/>
          <w:szCs w:val="18"/>
        </w:rPr>
        <w:t>.</w:t>
      </w:r>
    </w:p>
    <w:p w14:paraId="6E393408" w14:textId="77777777" w:rsidR="00B413C0" w:rsidRDefault="00B413C0" w:rsidP="000A2B2B">
      <w:pPr>
        <w:pStyle w:val="Notaalpie"/>
      </w:pPr>
      <w:r>
        <w:rPr>
          <w:sz w:val="18"/>
          <w:szCs w:val="18"/>
          <w:lang w:val="it-IT"/>
        </w:rPr>
        <w:t xml:space="preserve">40 Bradley &amp; Gulati, </w:t>
      </w:r>
      <w:r>
        <w:rPr>
          <w:sz w:val="18"/>
          <w:szCs w:val="18"/>
          <w:rtl/>
        </w:rPr>
        <w:t>‘</w:t>
      </w:r>
      <w:proofErr w:type="spellStart"/>
      <w:r>
        <w:rPr>
          <w:sz w:val="18"/>
          <w:szCs w:val="18"/>
        </w:rPr>
        <w:t>Clá</w:t>
      </w:r>
      <w:r>
        <w:rPr>
          <w:sz w:val="18"/>
          <w:szCs w:val="18"/>
          <w:lang w:val="es-ES_tradnl"/>
        </w:rPr>
        <w:t>usulas</w:t>
      </w:r>
      <w:proofErr w:type="spellEnd"/>
      <w:r>
        <w:rPr>
          <w:sz w:val="18"/>
          <w:szCs w:val="18"/>
          <w:lang w:val="es-ES_tradnl"/>
        </w:rPr>
        <w:t xml:space="preserve"> de </w:t>
      </w:r>
      <w:proofErr w:type="spellStart"/>
      <w:r>
        <w:rPr>
          <w:sz w:val="18"/>
          <w:szCs w:val="18"/>
          <w:lang w:val="es-ES_tradnl"/>
        </w:rPr>
        <w:t>acci</w:t>
      </w:r>
      <w:proofErr w:type="spellEnd"/>
      <w:r>
        <w:rPr>
          <w:sz w:val="18"/>
          <w:szCs w:val="18"/>
        </w:rPr>
        <w:t>ó</w:t>
      </w:r>
      <w:r>
        <w:rPr>
          <w:sz w:val="18"/>
          <w:szCs w:val="18"/>
          <w:lang w:val="es-ES_tradnl"/>
        </w:rPr>
        <w:t>n colectiva para la Eurozona</w:t>
      </w:r>
      <w:r>
        <w:rPr>
          <w:sz w:val="18"/>
          <w:szCs w:val="18"/>
          <w:rtl/>
        </w:rPr>
        <w:t xml:space="preserve">’ </w:t>
      </w:r>
      <w:r>
        <w:rPr>
          <w:sz w:val="18"/>
          <w:szCs w:val="18"/>
        </w:rPr>
        <w:t xml:space="preserve">(2013) 18 </w:t>
      </w:r>
      <w:proofErr w:type="spellStart"/>
      <w:r>
        <w:rPr>
          <w:sz w:val="18"/>
          <w:szCs w:val="18"/>
        </w:rPr>
        <w:t>Revisió</w:t>
      </w:r>
      <w:proofErr w:type="spellEnd"/>
      <w:r>
        <w:rPr>
          <w:sz w:val="18"/>
          <w:szCs w:val="18"/>
          <w:lang w:val="es-ES_tradnl"/>
        </w:rPr>
        <w:t>n de Finanzas</w:t>
      </w:r>
    </w:p>
  </w:footnote>
  <w:footnote w:id="5">
    <w:p w14:paraId="6A8DAA39" w14:textId="77777777" w:rsidR="00B413C0" w:rsidRDefault="00B413C0" w:rsidP="00D557A5">
      <w:pPr>
        <w:pStyle w:val="Notaalpie"/>
        <w:jc w:val="both"/>
      </w:pPr>
      <w:r>
        <w:rPr>
          <w:rStyle w:val="Ninguno"/>
          <w:vertAlign w:val="superscript"/>
        </w:rPr>
        <w:footnoteRef/>
      </w:r>
      <w:r>
        <w:rPr>
          <w:rFonts w:eastAsia="Arial Unicode MS" w:cs="Arial Unicode MS"/>
        </w:rPr>
        <w:t xml:space="preserve"> </w:t>
      </w:r>
      <w:r>
        <w:rPr>
          <w:rStyle w:val="Ninguno"/>
          <w:rFonts w:eastAsia="Arial Unicode MS" w:cs="Arial Unicode MS"/>
          <w:sz w:val="18"/>
          <w:szCs w:val="18"/>
          <w:lang w:val="es-ES_tradnl"/>
        </w:rPr>
        <w:t xml:space="preserve">Si bien no hubo casos de deuda soberana en los tribunales de la Isla de </w:t>
      </w:r>
      <w:proofErr w:type="spellStart"/>
      <w:r>
        <w:rPr>
          <w:rStyle w:val="Ninguno"/>
          <w:rFonts w:eastAsia="Arial Unicode MS" w:cs="Arial Unicode MS"/>
          <w:sz w:val="18"/>
          <w:szCs w:val="18"/>
          <w:lang w:val="es-ES_tradnl"/>
        </w:rPr>
        <w:t>Man</w:t>
      </w:r>
      <w:proofErr w:type="spellEnd"/>
      <w:r>
        <w:rPr>
          <w:rStyle w:val="Ninguno"/>
          <w:rFonts w:eastAsia="Arial Unicode MS" w:cs="Arial Unicode MS"/>
          <w:sz w:val="18"/>
          <w:szCs w:val="18"/>
          <w:lang w:val="es-ES_tradnl"/>
        </w:rPr>
        <w:t xml:space="preserve">, Jersey </w:t>
      </w:r>
      <w:proofErr w:type="spellStart"/>
      <w:r>
        <w:rPr>
          <w:rStyle w:val="Ninguno"/>
          <w:rFonts w:eastAsia="Arial Unicode MS" w:cs="Arial Unicode MS"/>
          <w:sz w:val="18"/>
          <w:szCs w:val="18"/>
          <w:lang w:val="es-ES_tradnl"/>
        </w:rPr>
        <w:t>hab</w:t>
      </w:r>
      <w:proofErr w:type="spellEnd"/>
      <w:r>
        <w:rPr>
          <w:rStyle w:val="Ninguno"/>
          <w:rFonts w:eastAsia="Arial Unicode MS" w:cs="Arial Unicode MS"/>
          <w:sz w:val="18"/>
          <w:szCs w:val="18"/>
        </w:rPr>
        <w:t>í</w:t>
      </w:r>
      <w:proofErr w:type="spellStart"/>
      <w:r>
        <w:rPr>
          <w:rStyle w:val="Ninguno"/>
          <w:rFonts w:eastAsia="Arial Unicode MS" w:cs="Arial Unicode MS"/>
          <w:sz w:val="18"/>
          <w:szCs w:val="18"/>
          <w:lang w:val="es-ES_tradnl"/>
        </w:rPr>
        <w:t>a</w:t>
      </w:r>
      <w:proofErr w:type="spellEnd"/>
      <w:r>
        <w:rPr>
          <w:rStyle w:val="Ninguno"/>
          <w:rFonts w:eastAsia="Arial Unicode MS" w:cs="Arial Unicode MS"/>
          <w:sz w:val="18"/>
          <w:szCs w:val="18"/>
          <w:lang w:val="es-ES_tradnl"/>
        </w:rPr>
        <w:t xml:space="preserve"> experimentado litigios de fondos buitre. En 2011, el fondo de cobertura de Nueva York FG </w:t>
      </w:r>
      <w:proofErr w:type="spellStart"/>
      <w:r>
        <w:rPr>
          <w:rStyle w:val="Ninguno"/>
          <w:rFonts w:eastAsia="Arial Unicode MS" w:cs="Arial Unicode MS"/>
          <w:sz w:val="18"/>
          <w:szCs w:val="18"/>
          <w:lang w:val="es-ES_tradnl"/>
        </w:rPr>
        <w:t>Hemisphere</w:t>
      </w:r>
      <w:proofErr w:type="spellEnd"/>
      <w:r>
        <w:rPr>
          <w:rStyle w:val="Ninguno"/>
          <w:rFonts w:eastAsia="Arial Unicode MS" w:cs="Arial Unicode MS"/>
          <w:sz w:val="18"/>
          <w:szCs w:val="18"/>
          <w:lang w:val="es-ES_tradnl"/>
        </w:rPr>
        <w:t xml:space="preserve"> </w:t>
      </w:r>
      <w:proofErr w:type="spellStart"/>
      <w:r>
        <w:rPr>
          <w:rStyle w:val="Ninguno"/>
          <w:rFonts w:eastAsia="Arial Unicode MS" w:cs="Arial Unicode MS"/>
          <w:sz w:val="18"/>
          <w:szCs w:val="18"/>
          <w:lang w:val="es-ES_tradnl"/>
        </w:rPr>
        <w:t>demand</w:t>
      </w:r>
      <w:proofErr w:type="spellEnd"/>
      <w:r>
        <w:rPr>
          <w:rStyle w:val="Ninguno"/>
          <w:rFonts w:eastAsia="Arial Unicode MS" w:cs="Arial Unicode MS"/>
          <w:sz w:val="18"/>
          <w:szCs w:val="18"/>
        </w:rPr>
        <w:t xml:space="preserve">ó </w:t>
      </w:r>
      <w:r>
        <w:rPr>
          <w:rStyle w:val="Ninguno"/>
          <w:rFonts w:eastAsia="Arial Unicode MS" w:cs="Arial Unicode MS"/>
          <w:sz w:val="18"/>
          <w:szCs w:val="18"/>
          <w:lang w:val="it-IT"/>
        </w:rPr>
        <w:t>a la Rep</w:t>
      </w:r>
      <w:r>
        <w:rPr>
          <w:rStyle w:val="Ninguno"/>
          <w:rFonts w:eastAsia="Arial Unicode MS" w:cs="Arial Unicode MS"/>
          <w:sz w:val="18"/>
          <w:szCs w:val="18"/>
        </w:rPr>
        <w:t>ú</w:t>
      </w:r>
      <w:r>
        <w:rPr>
          <w:rStyle w:val="Ninguno"/>
          <w:rFonts w:eastAsia="Arial Unicode MS" w:cs="Arial Unicode MS"/>
          <w:sz w:val="18"/>
          <w:szCs w:val="18"/>
          <w:lang w:val="pt-PT"/>
        </w:rPr>
        <w:t>blica Democr</w:t>
      </w:r>
      <w:r>
        <w:rPr>
          <w:rStyle w:val="Ninguno"/>
          <w:rFonts w:eastAsia="Arial Unicode MS" w:cs="Arial Unicode MS"/>
          <w:sz w:val="18"/>
          <w:szCs w:val="18"/>
        </w:rPr>
        <w:t>á</w:t>
      </w:r>
      <w:r>
        <w:rPr>
          <w:rStyle w:val="Ninguno"/>
          <w:rFonts w:eastAsia="Arial Unicode MS" w:cs="Arial Unicode MS"/>
          <w:sz w:val="18"/>
          <w:szCs w:val="18"/>
          <w:lang w:val="es-ES_tradnl"/>
        </w:rPr>
        <w:t xml:space="preserve">tica del Congo en los tribunales de Jersey. En el verano de 2012, los tribunales de Jersey fallaron en contra del intento de FG </w:t>
      </w:r>
      <w:proofErr w:type="spellStart"/>
      <w:r>
        <w:rPr>
          <w:rStyle w:val="Ninguno"/>
          <w:rFonts w:eastAsia="Arial Unicode MS" w:cs="Arial Unicode MS"/>
          <w:sz w:val="18"/>
          <w:szCs w:val="18"/>
          <w:lang w:val="es-ES_tradnl"/>
        </w:rPr>
        <w:t>Hemisphere</w:t>
      </w:r>
      <w:proofErr w:type="spellEnd"/>
      <w:r>
        <w:rPr>
          <w:rStyle w:val="Ninguno"/>
          <w:rFonts w:eastAsia="Arial Unicode MS" w:cs="Arial Unicode MS"/>
          <w:sz w:val="18"/>
          <w:szCs w:val="18"/>
          <w:lang w:val="es-ES_tradnl"/>
        </w:rPr>
        <w:t xml:space="preserve"> de demandar a una empresa minera estatal por $100 millones sobre una deuda de $3 millones. </w:t>
      </w:r>
    </w:p>
  </w:footnote>
  <w:footnote w:id="6">
    <w:p w14:paraId="5F53555A" w14:textId="77777777" w:rsidR="00B413C0" w:rsidRDefault="00B413C0" w:rsidP="0081563B">
      <w:pPr>
        <w:pStyle w:val="Notaalpie"/>
      </w:pPr>
      <w:r>
        <w:rPr>
          <w:rStyle w:val="Ninguno"/>
          <w:vertAlign w:val="superscript"/>
        </w:rPr>
        <w:footnoteRef/>
      </w:r>
      <w:r>
        <w:rPr>
          <w:rFonts w:eastAsia="Arial Unicode MS" w:cs="Arial Unicode MS"/>
        </w:rPr>
        <w:t xml:space="preserve"> </w:t>
      </w:r>
      <w:hyperlink r:id="rId2" w:history="1">
        <w:r>
          <w:rPr>
            <w:rFonts w:eastAsia="Arial Unicode MS" w:cs="Arial Unicode MS"/>
            <w:lang w:val="en-US"/>
          </w:rPr>
          <w:t>https://www.congress.gov/bill/111th-congress/house-bill/2932/text</w:t>
        </w:r>
      </w:hyperlink>
    </w:p>
  </w:footnote>
  <w:footnote w:id="7">
    <w:p w14:paraId="15D81675" w14:textId="0AE45337" w:rsidR="00B413C0" w:rsidRDefault="00B413C0">
      <w:pPr>
        <w:pStyle w:val="Textonotapie"/>
      </w:pPr>
      <w:r>
        <w:rPr>
          <w:rStyle w:val="Refdenotaalpie"/>
        </w:rPr>
        <w:footnoteRef/>
      </w:r>
      <w:r>
        <w:t xml:space="preserve"> Informe sobre el Comercio y el Desarrollo de 2022. UNCTAD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132"/>
      <w:docPartObj>
        <w:docPartGallery w:val="Page Numbers (Top of Page)"/>
        <w:docPartUnique/>
      </w:docPartObj>
    </w:sdtPr>
    <w:sdtEndPr/>
    <w:sdtContent>
      <w:p w14:paraId="6C7156DD" w14:textId="672BD241" w:rsidR="00B413C0" w:rsidRDefault="00B413C0">
        <w:pPr>
          <w:pStyle w:val="Encabezado"/>
          <w:jc w:val="right"/>
        </w:pPr>
        <w:r>
          <w:fldChar w:fldCharType="begin"/>
        </w:r>
        <w:r>
          <w:instrText>PAGE   \* MERGEFORMAT</w:instrText>
        </w:r>
        <w:r>
          <w:fldChar w:fldCharType="separate"/>
        </w:r>
        <w:r w:rsidR="003C2434" w:rsidRPr="003C2434">
          <w:rPr>
            <w:noProof/>
            <w:lang w:val="es-ES"/>
          </w:rPr>
          <w:t>11</w:t>
        </w:r>
        <w:r>
          <w:fldChar w:fldCharType="end"/>
        </w:r>
      </w:p>
    </w:sdtContent>
  </w:sdt>
  <w:p w14:paraId="5153BA33" w14:textId="77777777" w:rsidR="00B413C0" w:rsidRDefault="00B413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300"/>
    <w:multiLevelType w:val="hybridMultilevel"/>
    <w:tmpl w:val="8D2082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5FD237F"/>
    <w:multiLevelType w:val="hybridMultilevel"/>
    <w:tmpl w:val="D870F3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BAA61F4"/>
    <w:multiLevelType w:val="hybridMultilevel"/>
    <w:tmpl w:val="4BF6AC6E"/>
    <w:styleLink w:val="Vieta"/>
    <w:lvl w:ilvl="0" w:tplc="6F16005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507E86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DEEB64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47E6E2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03C4CD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F6CC6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0B2B98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AA47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3469A7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38E031BA"/>
    <w:multiLevelType w:val="multilevel"/>
    <w:tmpl w:val="63D8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1F43FB"/>
    <w:multiLevelType w:val="multilevel"/>
    <w:tmpl w:val="63D8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8627B3"/>
    <w:multiLevelType w:val="hybridMultilevel"/>
    <w:tmpl w:val="4BF6AC6E"/>
    <w:numStyleLink w:val="Vieta"/>
  </w:abstractNum>
  <w:abstractNum w:abstractNumId="6">
    <w:nsid w:val="5B3000E1"/>
    <w:multiLevelType w:val="hybridMultilevel"/>
    <w:tmpl w:val="B9DA67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B757073"/>
    <w:multiLevelType w:val="hybridMultilevel"/>
    <w:tmpl w:val="93D4DA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215111D"/>
    <w:multiLevelType w:val="hybridMultilevel"/>
    <w:tmpl w:val="0504E8C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D9E0CC5"/>
    <w:multiLevelType w:val="hybridMultilevel"/>
    <w:tmpl w:val="10E0AD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E697A5D"/>
    <w:multiLevelType w:val="hybridMultilevel"/>
    <w:tmpl w:val="34980A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0"/>
  </w:num>
  <w:num w:numId="6">
    <w:abstractNumId w:val="1"/>
  </w:num>
  <w:num w:numId="7">
    <w:abstractNumId w:val="2"/>
  </w:num>
  <w:num w:numId="8">
    <w:abstractNumId w:val="5"/>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D5"/>
    <w:rsid w:val="00040164"/>
    <w:rsid w:val="000A2B2B"/>
    <w:rsid w:val="000E5696"/>
    <w:rsid w:val="001146D5"/>
    <w:rsid w:val="001900BA"/>
    <w:rsid w:val="001A6522"/>
    <w:rsid w:val="001C1C19"/>
    <w:rsid w:val="001C227E"/>
    <w:rsid w:val="001D0229"/>
    <w:rsid w:val="002462D5"/>
    <w:rsid w:val="002B4132"/>
    <w:rsid w:val="002C3839"/>
    <w:rsid w:val="002D2F61"/>
    <w:rsid w:val="002E58DD"/>
    <w:rsid w:val="00302425"/>
    <w:rsid w:val="00360DE0"/>
    <w:rsid w:val="003B7D88"/>
    <w:rsid w:val="003C2434"/>
    <w:rsid w:val="003D5D65"/>
    <w:rsid w:val="003F21E6"/>
    <w:rsid w:val="00410B8E"/>
    <w:rsid w:val="0042521C"/>
    <w:rsid w:val="00431109"/>
    <w:rsid w:val="004A2CD6"/>
    <w:rsid w:val="004A5672"/>
    <w:rsid w:val="004E0C97"/>
    <w:rsid w:val="004F1A09"/>
    <w:rsid w:val="0054293A"/>
    <w:rsid w:val="00563551"/>
    <w:rsid w:val="005C2744"/>
    <w:rsid w:val="005F06C5"/>
    <w:rsid w:val="005F7A26"/>
    <w:rsid w:val="00600610"/>
    <w:rsid w:val="00634AA4"/>
    <w:rsid w:val="00674C44"/>
    <w:rsid w:val="0067640A"/>
    <w:rsid w:val="006E41FA"/>
    <w:rsid w:val="006E796A"/>
    <w:rsid w:val="007174F2"/>
    <w:rsid w:val="007939C8"/>
    <w:rsid w:val="007A4F58"/>
    <w:rsid w:val="007B2377"/>
    <w:rsid w:val="007E050E"/>
    <w:rsid w:val="00811B3E"/>
    <w:rsid w:val="0081563B"/>
    <w:rsid w:val="0083136E"/>
    <w:rsid w:val="0083540E"/>
    <w:rsid w:val="008504F0"/>
    <w:rsid w:val="00860BE8"/>
    <w:rsid w:val="00860CC0"/>
    <w:rsid w:val="0088593E"/>
    <w:rsid w:val="008A2C72"/>
    <w:rsid w:val="008A4C37"/>
    <w:rsid w:val="008B5FBC"/>
    <w:rsid w:val="008B6966"/>
    <w:rsid w:val="00911159"/>
    <w:rsid w:val="00921CF6"/>
    <w:rsid w:val="00941CA9"/>
    <w:rsid w:val="00962299"/>
    <w:rsid w:val="00991AE5"/>
    <w:rsid w:val="009F6F06"/>
    <w:rsid w:val="00A0401B"/>
    <w:rsid w:val="00A533E9"/>
    <w:rsid w:val="00A85ACE"/>
    <w:rsid w:val="00AB4D77"/>
    <w:rsid w:val="00B0711E"/>
    <w:rsid w:val="00B25900"/>
    <w:rsid w:val="00B413C0"/>
    <w:rsid w:val="00B872FD"/>
    <w:rsid w:val="00BF12CA"/>
    <w:rsid w:val="00C42317"/>
    <w:rsid w:val="00C719CE"/>
    <w:rsid w:val="00CB06A4"/>
    <w:rsid w:val="00CC695A"/>
    <w:rsid w:val="00CD0F28"/>
    <w:rsid w:val="00CF7712"/>
    <w:rsid w:val="00D21DB8"/>
    <w:rsid w:val="00D41C2A"/>
    <w:rsid w:val="00D557A5"/>
    <w:rsid w:val="00D62407"/>
    <w:rsid w:val="00D776F5"/>
    <w:rsid w:val="00DF2C4F"/>
    <w:rsid w:val="00E00CAF"/>
    <w:rsid w:val="00E22C53"/>
    <w:rsid w:val="00E24D57"/>
    <w:rsid w:val="00E35B23"/>
    <w:rsid w:val="00E367C9"/>
    <w:rsid w:val="00E42133"/>
    <w:rsid w:val="00E56976"/>
    <w:rsid w:val="00F007BC"/>
    <w:rsid w:val="00F16770"/>
    <w:rsid w:val="00F20457"/>
    <w:rsid w:val="00F3131A"/>
    <w:rsid w:val="00F31CCC"/>
    <w:rsid w:val="00F34D5F"/>
    <w:rsid w:val="00F44718"/>
    <w:rsid w:val="00F66725"/>
    <w:rsid w:val="00F67512"/>
    <w:rsid w:val="00F67863"/>
    <w:rsid w:val="00F75941"/>
    <w:rsid w:val="00F849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610"/>
    <w:pPr>
      <w:ind w:left="720"/>
      <w:contextualSpacing/>
    </w:pPr>
  </w:style>
  <w:style w:type="paragraph" w:styleId="Textonotapie">
    <w:name w:val="footnote text"/>
    <w:basedOn w:val="Normal"/>
    <w:link w:val="TextonotapieCar"/>
    <w:uiPriority w:val="99"/>
    <w:semiHidden/>
    <w:unhideWhenUsed/>
    <w:rsid w:val="0083136E"/>
    <w:pPr>
      <w:spacing w:after="0" w:line="240" w:lineRule="auto"/>
    </w:pPr>
    <w:rPr>
      <w:rFonts w:eastAsiaTheme="minorEastAsia"/>
      <w:sz w:val="20"/>
      <w:szCs w:val="20"/>
      <w:lang w:eastAsia="es-AR"/>
    </w:rPr>
  </w:style>
  <w:style w:type="character" w:customStyle="1" w:styleId="TextonotapieCar">
    <w:name w:val="Texto nota pie Car"/>
    <w:basedOn w:val="Fuentedeprrafopredeter"/>
    <w:link w:val="Textonotapie"/>
    <w:uiPriority w:val="99"/>
    <w:semiHidden/>
    <w:rsid w:val="0083136E"/>
    <w:rPr>
      <w:rFonts w:eastAsiaTheme="minorEastAsia"/>
      <w:sz w:val="20"/>
      <w:szCs w:val="20"/>
      <w:lang w:eastAsia="es-AR"/>
    </w:rPr>
  </w:style>
  <w:style w:type="character" w:styleId="Refdenotaalpie">
    <w:name w:val="footnote reference"/>
    <w:aliases w:val="Ref,de nota al pie,Ref. de nota al pie."/>
    <w:basedOn w:val="Fuentedeprrafopredeter"/>
    <w:uiPriority w:val="99"/>
    <w:semiHidden/>
    <w:unhideWhenUsed/>
    <w:rsid w:val="0083136E"/>
    <w:rPr>
      <w:vertAlign w:val="superscript"/>
    </w:rPr>
  </w:style>
  <w:style w:type="character" w:customStyle="1" w:styleId="Ninguno">
    <w:name w:val="Ninguno"/>
    <w:rsid w:val="004F1A09"/>
  </w:style>
  <w:style w:type="paragraph" w:customStyle="1" w:styleId="Notaalpie">
    <w:name w:val="Nota al pie"/>
    <w:rsid w:val="004F1A0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AR"/>
      <w14:textOutline w14:w="0" w14:cap="flat" w14:cmpd="sng" w14:algn="ctr">
        <w14:noFill/>
        <w14:prstDash w14:val="solid"/>
        <w14:bevel/>
      </w14:textOutline>
    </w:rPr>
  </w:style>
  <w:style w:type="numbering" w:customStyle="1" w:styleId="Vieta">
    <w:name w:val="Viñeta"/>
    <w:rsid w:val="004F1A09"/>
    <w:pPr>
      <w:numPr>
        <w:numId w:val="7"/>
      </w:numPr>
    </w:pPr>
  </w:style>
  <w:style w:type="character" w:styleId="Hipervnculo">
    <w:name w:val="Hyperlink"/>
    <w:basedOn w:val="Fuentedeprrafopredeter"/>
    <w:uiPriority w:val="99"/>
    <w:unhideWhenUsed/>
    <w:rsid w:val="003B7D88"/>
    <w:rPr>
      <w:color w:val="0563C1" w:themeColor="hyperlink"/>
      <w:u w:val="single"/>
    </w:rPr>
  </w:style>
  <w:style w:type="character" w:customStyle="1" w:styleId="UnresolvedMention">
    <w:name w:val="Unresolved Mention"/>
    <w:basedOn w:val="Fuentedeprrafopredeter"/>
    <w:uiPriority w:val="99"/>
    <w:semiHidden/>
    <w:unhideWhenUsed/>
    <w:rsid w:val="003B7D88"/>
    <w:rPr>
      <w:color w:val="605E5C"/>
      <w:shd w:val="clear" w:color="auto" w:fill="E1DFDD"/>
    </w:rPr>
  </w:style>
  <w:style w:type="paragraph" w:styleId="NormalWeb">
    <w:name w:val="Normal (Web)"/>
    <w:basedOn w:val="Normal"/>
    <w:uiPriority w:val="99"/>
    <w:semiHidden/>
    <w:unhideWhenUsed/>
    <w:rsid w:val="00F44718"/>
    <w:rPr>
      <w:rFonts w:ascii="Times New Roman" w:hAnsi="Times New Roman" w:cs="Times New Roman"/>
      <w:sz w:val="24"/>
      <w:szCs w:val="24"/>
    </w:rPr>
  </w:style>
  <w:style w:type="paragraph" w:styleId="Encabezado">
    <w:name w:val="header"/>
    <w:basedOn w:val="Normal"/>
    <w:link w:val="EncabezadoCar"/>
    <w:uiPriority w:val="99"/>
    <w:unhideWhenUsed/>
    <w:rsid w:val="004252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21C"/>
  </w:style>
  <w:style w:type="paragraph" w:styleId="Piedepgina">
    <w:name w:val="footer"/>
    <w:basedOn w:val="Normal"/>
    <w:link w:val="PiedepginaCar"/>
    <w:uiPriority w:val="99"/>
    <w:unhideWhenUsed/>
    <w:rsid w:val="004252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21C"/>
  </w:style>
  <w:style w:type="paragraph" w:styleId="Textodeglobo">
    <w:name w:val="Balloon Text"/>
    <w:basedOn w:val="Normal"/>
    <w:link w:val="TextodegloboCar"/>
    <w:uiPriority w:val="99"/>
    <w:semiHidden/>
    <w:unhideWhenUsed/>
    <w:rsid w:val="00425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2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610"/>
    <w:pPr>
      <w:ind w:left="720"/>
      <w:contextualSpacing/>
    </w:pPr>
  </w:style>
  <w:style w:type="paragraph" w:styleId="Textonotapie">
    <w:name w:val="footnote text"/>
    <w:basedOn w:val="Normal"/>
    <w:link w:val="TextonotapieCar"/>
    <w:uiPriority w:val="99"/>
    <w:semiHidden/>
    <w:unhideWhenUsed/>
    <w:rsid w:val="0083136E"/>
    <w:pPr>
      <w:spacing w:after="0" w:line="240" w:lineRule="auto"/>
    </w:pPr>
    <w:rPr>
      <w:rFonts w:eastAsiaTheme="minorEastAsia"/>
      <w:sz w:val="20"/>
      <w:szCs w:val="20"/>
      <w:lang w:eastAsia="es-AR"/>
    </w:rPr>
  </w:style>
  <w:style w:type="character" w:customStyle="1" w:styleId="TextonotapieCar">
    <w:name w:val="Texto nota pie Car"/>
    <w:basedOn w:val="Fuentedeprrafopredeter"/>
    <w:link w:val="Textonotapie"/>
    <w:uiPriority w:val="99"/>
    <w:semiHidden/>
    <w:rsid w:val="0083136E"/>
    <w:rPr>
      <w:rFonts w:eastAsiaTheme="minorEastAsia"/>
      <w:sz w:val="20"/>
      <w:szCs w:val="20"/>
      <w:lang w:eastAsia="es-AR"/>
    </w:rPr>
  </w:style>
  <w:style w:type="character" w:styleId="Refdenotaalpie">
    <w:name w:val="footnote reference"/>
    <w:aliases w:val="Ref,de nota al pie,Ref. de nota al pie."/>
    <w:basedOn w:val="Fuentedeprrafopredeter"/>
    <w:uiPriority w:val="99"/>
    <w:semiHidden/>
    <w:unhideWhenUsed/>
    <w:rsid w:val="0083136E"/>
    <w:rPr>
      <w:vertAlign w:val="superscript"/>
    </w:rPr>
  </w:style>
  <w:style w:type="character" w:customStyle="1" w:styleId="Ninguno">
    <w:name w:val="Ninguno"/>
    <w:rsid w:val="004F1A09"/>
  </w:style>
  <w:style w:type="paragraph" w:customStyle="1" w:styleId="Notaalpie">
    <w:name w:val="Nota al pie"/>
    <w:rsid w:val="004F1A0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AR"/>
      <w14:textOutline w14:w="0" w14:cap="flat" w14:cmpd="sng" w14:algn="ctr">
        <w14:noFill/>
        <w14:prstDash w14:val="solid"/>
        <w14:bevel/>
      </w14:textOutline>
    </w:rPr>
  </w:style>
  <w:style w:type="numbering" w:customStyle="1" w:styleId="Vieta">
    <w:name w:val="Viñeta"/>
    <w:rsid w:val="004F1A09"/>
    <w:pPr>
      <w:numPr>
        <w:numId w:val="7"/>
      </w:numPr>
    </w:pPr>
  </w:style>
  <w:style w:type="character" w:styleId="Hipervnculo">
    <w:name w:val="Hyperlink"/>
    <w:basedOn w:val="Fuentedeprrafopredeter"/>
    <w:uiPriority w:val="99"/>
    <w:unhideWhenUsed/>
    <w:rsid w:val="003B7D88"/>
    <w:rPr>
      <w:color w:val="0563C1" w:themeColor="hyperlink"/>
      <w:u w:val="single"/>
    </w:rPr>
  </w:style>
  <w:style w:type="character" w:customStyle="1" w:styleId="UnresolvedMention">
    <w:name w:val="Unresolved Mention"/>
    <w:basedOn w:val="Fuentedeprrafopredeter"/>
    <w:uiPriority w:val="99"/>
    <w:semiHidden/>
    <w:unhideWhenUsed/>
    <w:rsid w:val="003B7D88"/>
    <w:rPr>
      <w:color w:val="605E5C"/>
      <w:shd w:val="clear" w:color="auto" w:fill="E1DFDD"/>
    </w:rPr>
  </w:style>
  <w:style w:type="paragraph" w:styleId="NormalWeb">
    <w:name w:val="Normal (Web)"/>
    <w:basedOn w:val="Normal"/>
    <w:uiPriority w:val="99"/>
    <w:semiHidden/>
    <w:unhideWhenUsed/>
    <w:rsid w:val="00F44718"/>
    <w:rPr>
      <w:rFonts w:ascii="Times New Roman" w:hAnsi="Times New Roman" w:cs="Times New Roman"/>
      <w:sz w:val="24"/>
      <w:szCs w:val="24"/>
    </w:rPr>
  </w:style>
  <w:style w:type="paragraph" w:styleId="Encabezado">
    <w:name w:val="header"/>
    <w:basedOn w:val="Normal"/>
    <w:link w:val="EncabezadoCar"/>
    <w:uiPriority w:val="99"/>
    <w:unhideWhenUsed/>
    <w:rsid w:val="004252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21C"/>
  </w:style>
  <w:style w:type="paragraph" w:styleId="Piedepgina">
    <w:name w:val="footer"/>
    <w:basedOn w:val="Normal"/>
    <w:link w:val="PiedepginaCar"/>
    <w:uiPriority w:val="99"/>
    <w:unhideWhenUsed/>
    <w:rsid w:val="004252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21C"/>
  </w:style>
  <w:style w:type="paragraph" w:styleId="Textodeglobo">
    <w:name w:val="Balloon Text"/>
    <w:basedOn w:val="Normal"/>
    <w:link w:val="TextodegloboCar"/>
    <w:uiPriority w:val="99"/>
    <w:semiHidden/>
    <w:unhideWhenUsed/>
    <w:rsid w:val="00425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353">
      <w:bodyDiv w:val="1"/>
      <w:marLeft w:val="0"/>
      <w:marRight w:val="0"/>
      <w:marTop w:val="0"/>
      <w:marBottom w:val="0"/>
      <w:divBdr>
        <w:top w:val="none" w:sz="0" w:space="0" w:color="auto"/>
        <w:left w:val="none" w:sz="0" w:space="0" w:color="auto"/>
        <w:bottom w:val="none" w:sz="0" w:space="0" w:color="auto"/>
        <w:right w:val="none" w:sz="0" w:space="0" w:color="auto"/>
      </w:divBdr>
    </w:div>
    <w:div w:id="14290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tm.org/Organizacion-de-Cooperacion-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tm.org/Acc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tm.org/Organizacion-de-Cooperacio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tm.org/Deuda" TargetMode="External"/><Relationship Id="rId5" Type="http://schemas.openxmlformats.org/officeDocument/2006/relationships/settings" Target="settings.xml"/><Relationship Id="rId15" Type="http://schemas.openxmlformats.org/officeDocument/2006/relationships/hyperlink" Target="http://www.cadtm.org/Organizacion-de-Cooperacion-y" TargetMode="External"/><Relationship Id="rId10" Type="http://schemas.openxmlformats.org/officeDocument/2006/relationships/hyperlink" Target="http://www.cadtm.org/Deud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dtm.org/Deuda" TargetMode="External"/><Relationship Id="rId14" Type="http://schemas.openxmlformats.org/officeDocument/2006/relationships/hyperlink" Target="http://www.cadtm.org/Organizacion-de-Cooperacion-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gress.gov/bill/111th-congress/house-bill/2932/text" TargetMode="External"/><Relationship Id="rId1" Type="http://schemas.openxmlformats.org/officeDocument/2006/relationships/hyperlink" Target="http://www.conseil-constitutionnel.fr/conseil-constitutionnel/francais/les-decisions/acces-p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F5ED-0B04-4305-AA4B-7874FE21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4520</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Radio Energia</cp:lastModifiedBy>
  <cp:revision>3</cp:revision>
  <cp:lastPrinted>2022-10-21T19:43:00Z</cp:lastPrinted>
  <dcterms:created xsi:type="dcterms:W3CDTF">2022-10-24T14:23:00Z</dcterms:created>
  <dcterms:modified xsi:type="dcterms:W3CDTF">2022-11-01T20:33:00Z</dcterms:modified>
</cp:coreProperties>
</file>